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31" w:rsidRPr="00714F71" w:rsidRDefault="00231B31" w:rsidP="00AF7622">
      <w:pPr>
        <w:pStyle w:val="Sansinterligne"/>
        <w:jc w:val="both"/>
        <w:rPr>
          <w:rFonts w:ascii="Comic Sans MS" w:hAnsi="Comic Sans MS"/>
          <w:color w:val="A6A6A6" w:themeColor="background1" w:themeShade="A6"/>
          <w:sz w:val="32"/>
          <w:szCs w:val="32"/>
        </w:rPr>
      </w:pPr>
      <w:r w:rsidRPr="00714F71">
        <w:rPr>
          <w:rFonts w:ascii="Comic Sans MS" w:hAnsi="Comic Sans MS"/>
          <w:color w:val="A6A6A6" w:themeColor="background1" w:themeShade="A6"/>
          <w:sz w:val="32"/>
          <w:szCs w:val="32"/>
        </w:rPr>
        <w:t>Communiqué de Presse</w:t>
      </w:r>
      <w:r w:rsidR="003609B1" w:rsidRPr="00714F71">
        <w:rPr>
          <w:rFonts w:ascii="Comic Sans MS" w:hAnsi="Comic Sans MS"/>
          <w:color w:val="A6A6A6" w:themeColor="background1" w:themeShade="A6"/>
          <w:sz w:val="32"/>
          <w:szCs w:val="32"/>
        </w:rPr>
        <w:tab/>
      </w:r>
      <w:r w:rsidR="003609B1" w:rsidRPr="00714F71">
        <w:rPr>
          <w:rFonts w:ascii="Comic Sans MS" w:hAnsi="Comic Sans MS"/>
          <w:color w:val="A6A6A6" w:themeColor="background1" w:themeShade="A6"/>
          <w:sz w:val="32"/>
          <w:szCs w:val="32"/>
        </w:rPr>
        <w:tab/>
      </w:r>
      <w:r w:rsidR="003609B1" w:rsidRPr="00714F71">
        <w:rPr>
          <w:rFonts w:ascii="Comic Sans MS" w:hAnsi="Comic Sans MS"/>
          <w:color w:val="A6A6A6" w:themeColor="background1" w:themeShade="A6"/>
          <w:sz w:val="32"/>
          <w:szCs w:val="32"/>
        </w:rPr>
        <w:tab/>
      </w:r>
      <w:r w:rsidR="003609B1" w:rsidRPr="00714F71">
        <w:rPr>
          <w:rFonts w:ascii="Comic Sans MS" w:hAnsi="Comic Sans MS"/>
          <w:color w:val="A6A6A6" w:themeColor="background1" w:themeShade="A6"/>
          <w:sz w:val="32"/>
          <w:szCs w:val="32"/>
        </w:rPr>
        <w:tab/>
      </w:r>
      <w:r w:rsidR="003609B1" w:rsidRPr="00714F71">
        <w:rPr>
          <w:rFonts w:ascii="Comic Sans MS" w:hAnsi="Comic Sans MS"/>
          <w:color w:val="A6A6A6" w:themeColor="background1" w:themeShade="A6"/>
          <w:sz w:val="32"/>
          <w:szCs w:val="32"/>
        </w:rPr>
        <w:tab/>
        <w:t xml:space="preserve">      </w:t>
      </w:r>
      <w:r w:rsidR="00714F71">
        <w:rPr>
          <w:rFonts w:ascii="Comic Sans MS" w:hAnsi="Comic Sans MS"/>
          <w:color w:val="A6A6A6" w:themeColor="background1" w:themeShade="A6"/>
          <w:sz w:val="32"/>
          <w:szCs w:val="32"/>
        </w:rPr>
        <w:t xml:space="preserve">           </w:t>
      </w:r>
      <w:r w:rsidR="003609B1" w:rsidRPr="00714F71">
        <w:rPr>
          <w:rFonts w:ascii="Comic Sans MS" w:hAnsi="Comic Sans MS"/>
          <w:color w:val="A6A6A6" w:themeColor="background1" w:themeShade="A6"/>
          <w:sz w:val="32"/>
          <w:szCs w:val="32"/>
        </w:rPr>
        <w:t xml:space="preserve"> Le 9 Avril 2020</w:t>
      </w:r>
    </w:p>
    <w:p w:rsidR="00231B31" w:rsidRPr="00714F71" w:rsidRDefault="00231B31" w:rsidP="00AF7622">
      <w:pPr>
        <w:pStyle w:val="Sansinterligne"/>
        <w:jc w:val="both"/>
        <w:rPr>
          <w:rFonts w:ascii="Comic Sans MS" w:hAnsi="Comic Sans MS"/>
          <w:sz w:val="28"/>
          <w:szCs w:val="28"/>
        </w:rPr>
      </w:pPr>
    </w:p>
    <w:p w:rsidR="00231B31" w:rsidRPr="00714F71" w:rsidRDefault="00231B31" w:rsidP="00AF7622">
      <w:pPr>
        <w:pStyle w:val="Sansinterligne"/>
        <w:jc w:val="both"/>
        <w:rPr>
          <w:rFonts w:ascii="Comic Sans MS" w:hAnsi="Comic Sans MS"/>
          <w:sz w:val="28"/>
          <w:szCs w:val="28"/>
        </w:rPr>
      </w:pPr>
    </w:p>
    <w:p w:rsidR="00D050E7" w:rsidRPr="003609B1" w:rsidRDefault="00AF7622" w:rsidP="00231B31">
      <w:pPr>
        <w:pStyle w:val="Sansinterligne"/>
        <w:jc w:val="center"/>
        <w:rPr>
          <w:rFonts w:ascii="Comic Sans MS" w:hAnsi="Comic Sans MS"/>
          <w:b/>
          <w:sz w:val="36"/>
          <w:szCs w:val="36"/>
        </w:rPr>
      </w:pPr>
      <w:r w:rsidRPr="003609B1">
        <w:rPr>
          <w:rFonts w:ascii="Comic Sans MS" w:hAnsi="Comic Sans MS"/>
          <w:b/>
          <w:sz w:val="36"/>
          <w:szCs w:val="36"/>
        </w:rPr>
        <w:t>Le Comité d’Entrep</w:t>
      </w:r>
      <w:r w:rsidR="003609B1">
        <w:rPr>
          <w:rFonts w:ascii="Comic Sans MS" w:hAnsi="Comic Sans MS"/>
          <w:b/>
          <w:sz w:val="36"/>
          <w:szCs w:val="36"/>
        </w:rPr>
        <w:t>rise Européen du Groupe Legran</w:t>
      </w:r>
      <w:r w:rsidR="00100CBE">
        <w:rPr>
          <w:rFonts w:ascii="Comic Sans MS" w:hAnsi="Comic Sans MS"/>
          <w:b/>
          <w:sz w:val="36"/>
          <w:szCs w:val="36"/>
        </w:rPr>
        <w:t>d</w:t>
      </w:r>
      <w:r w:rsidR="003609B1">
        <w:rPr>
          <w:rFonts w:ascii="Comic Sans MS" w:hAnsi="Comic Sans MS"/>
          <w:b/>
          <w:sz w:val="36"/>
          <w:szCs w:val="36"/>
        </w:rPr>
        <w:t xml:space="preserve"> </w:t>
      </w:r>
      <w:r w:rsidRPr="003609B1">
        <w:rPr>
          <w:rFonts w:ascii="Comic Sans MS" w:hAnsi="Comic Sans MS"/>
          <w:b/>
          <w:sz w:val="36"/>
          <w:szCs w:val="36"/>
        </w:rPr>
        <w:t>s’inquiète des mesures mises en place au niveau Européen pour faire face à la crise sanitaire</w:t>
      </w:r>
    </w:p>
    <w:p w:rsidR="00AF7622" w:rsidRPr="00714F71" w:rsidRDefault="00AF7622" w:rsidP="00AF7622">
      <w:pPr>
        <w:pStyle w:val="Sansinterligne"/>
        <w:jc w:val="both"/>
        <w:rPr>
          <w:rFonts w:ascii="Comic Sans MS" w:hAnsi="Comic Sans MS"/>
          <w:sz w:val="28"/>
          <w:szCs w:val="28"/>
        </w:rPr>
      </w:pPr>
    </w:p>
    <w:p w:rsidR="00AF7622" w:rsidRPr="00714F71" w:rsidRDefault="00AF7622" w:rsidP="00AF7622">
      <w:pPr>
        <w:pStyle w:val="Sansinterligne"/>
        <w:jc w:val="both"/>
        <w:rPr>
          <w:rFonts w:ascii="Comic Sans MS" w:hAnsi="Comic Sans MS"/>
          <w:sz w:val="28"/>
          <w:szCs w:val="28"/>
        </w:rPr>
      </w:pPr>
    </w:p>
    <w:p w:rsidR="00AF7622" w:rsidRDefault="00231B31" w:rsidP="00AF7622">
      <w:pPr>
        <w:pStyle w:val="Sansinterligne"/>
        <w:jc w:val="both"/>
        <w:rPr>
          <w:rFonts w:ascii="Comic Sans MS" w:hAnsi="Comic Sans MS"/>
          <w:sz w:val="24"/>
          <w:szCs w:val="24"/>
        </w:rPr>
      </w:pPr>
      <w:r>
        <w:rPr>
          <w:rFonts w:ascii="Comic Sans MS" w:hAnsi="Comic Sans MS"/>
          <w:sz w:val="24"/>
          <w:szCs w:val="24"/>
        </w:rPr>
        <w:t xml:space="preserve">En cette période de crise sanitaire mondiale, le Comité d’Entreprise Européen du Groupe Legrand </w:t>
      </w:r>
      <w:proofErr w:type="gramStart"/>
      <w:r w:rsidR="003609B1">
        <w:rPr>
          <w:rFonts w:ascii="Comic Sans MS" w:hAnsi="Comic Sans MS"/>
          <w:sz w:val="24"/>
          <w:szCs w:val="24"/>
        </w:rPr>
        <w:t>( CEGL</w:t>
      </w:r>
      <w:proofErr w:type="gramEnd"/>
      <w:r w:rsidR="003609B1">
        <w:rPr>
          <w:rFonts w:ascii="Comic Sans MS" w:hAnsi="Comic Sans MS"/>
          <w:sz w:val="24"/>
          <w:szCs w:val="24"/>
        </w:rPr>
        <w:t xml:space="preserve"> ) </w:t>
      </w:r>
      <w:r>
        <w:rPr>
          <w:rFonts w:ascii="Comic Sans MS" w:hAnsi="Comic Sans MS"/>
          <w:sz w:val="24"/>
          <w:szCs w:val="24"/>
        </w:rPr>
        <w:t>est extrêmement inquiet de la façon dont le groupe Legrand gère cette période.</w:t>
      </w:r>
    </w:p>
    <w:p w:rsidR="00231B31" w:rsidRDefault="00231B31" w:rsidP="00AF7622">
      <w:pPr>
        <w:pStyle w:val="Sansinterligne"/>
        <w:jc w:val="both"/>
        <w:rPr>
          <w:rFonts w:ascii="Comic Sans MS" w:hAnsi="Comic Sans MS"/>
          <w:sz w:val="24"/>
          <w:szCs w:val="24"/>
        </w:rPr>
      </w:pPr>
    </w:p>
    <w:p w:rsidR="003C072B" w:rsidRDefault="003C072B" w:rsidP="00AF7622">
      <w:pPr>
        <w:pStyle w:val="Sansinterligne"/>
        <w:jc w:val="both"/>
        <w:rPr>
          <w:rFonts w:ascii="Comic Sans MS" w:hAnsi="Comic Sans MS"/>
          <w:sz w:val="24"/>
          <w:szCs w:val="24"/>
        </w:rPr>
      </w:pPr>
    </w:p>
    <w:p w:rsidR="00091AC2" w:rsidRDefault="00750192" w:rsidP="003C072B">
      <w:pPr>
        <w:pStyle w:val="Sansinterligne"/>
        <w:jc w:val="both"/>
        <w:rPr>
          <w:rFonts w:ascii="Comic Sans MS" w:hAnsi="Comic Sans MS"/>
          <w:sz w:val="24"/>
          <w:szCs w:val="24"/>
        </w:rPr>
      </w:pPr>
      <w:r>
        <w:rPr>
          <w:rFonts w:ascii="Comic Sans MS" w:hAnsi="Comic Sans MS"/>
          <w:sz w:val="24"/>
          <w:szCs w:val="24"/>
        </w:rPr>
        <w:t>-</w:t>
      </w:r>
      <w:r w:rsidR="003C072B">
        <w:rPr>
          <w:rFonts w:ascii="Comic Sans MS" w:hAnsi="Comic Sans MS"/>
          <w:sz w:val="24"/>
          <w:szCs w:val="24"/>
        </w:rPr>
        <w:t xml:space="preserve"> </w:t>
      </w:r>
      <w:r w:rsidR="00231B31">
        <w:rPr>
          <w:rFonts w:ascii="Comic Sans MS" w:hAnsi="Comic Sans MS"/>
          <w:sz w:val="24"/>
          <w:szCs w:val="24"/>
        </w:rPr>
        <w:t>Fort est de constater que l’instance de représentation du personnel au niveau européen n’a jamais</w:t>
      </w:r>
      <w:r w:rsidR="00091AC2">
        <w:rPr>
          <w:rFonts w:ascii="Comic Sans MS" w:hAnsi="Comic Sans MS"/>
          <w:sz w:val="24"/>
          <w:szCs w:val="24"/>
        </w:rPr>
        <w:t xml:space="preserve"> été </w:t>
      </w:r>
      <w:r w:rsidR="00D73A74">
        <w:rPr>
          <w:rFonts w:ascii="Comic Sans MS" w:hAnsi="Comic Sans MS"/>
          <w:sz w:val="24"/>
          <w:szCs w:val="24"/>
        </w:rPr>
        <w:t xml:space="preserve">informée </w:t>
      </w:r>
      <w:proofErr w:type="gramStart"/>
      <w:r w:rsidR="00D73A74">
        <w:rPr>
          <w:rFonts w:ascii="Comic Sans MS" w:hAnsi="Comic Sans MS"/>
          <w:sz w:val="24"/>
          <w:szCs w:val="24"/>
        </w:rPr>
        <w:t>( ni</w:t>
      </w:r>
      <w:proofErr w:type="gramEnd"/>
      <w:r w:rsidR="00D73A74">
        <w:rPr>
          <w:rFonts w:ascii="Comic Sans MS" w:hAnsi="Comic Sans MS"/>
          <w:sz w:val="24"/>
          <w:szCs w:val="24"/>
        </w:rPr>
        <w:t xml:space="preserve"> même</w:t>
      </w:r>
      <w:r w:rsidR="00091AC2">
        <w:rPr>
          <w:rFonts w:ascii="Comic Sans MS" w:hAnsi="Comic Sans MS"/>
          <w:sz w:val="24"/>
          <w:szCs w:val="24"/>
        </w:rPr>
        <w:t xml:space="preserve"> consulté</w:t>
      </w:r>
      <w:r w:rsidR="00D73A74">
        <w:rPr>
          <w:rFonts w:ascii="Comic Sans MS" w:hAnsi="Comic Sans MS"/>
          <w:sz w:val="24"/>
          <w:szCs w:val="24"/>
        </w:rPr>
        <w:t>e )</w:t>
      </w:r>
      <w:r w:rsidR="00091AC2">
        <w:rPr>
          <w:rFonts w:ascii="Comic Sans MS" w:hAnsi="Comic Sans MS"/>
          <w:sz w:val="24"/>
          <w:szCs w:val="24"/>
        </w:rPr>
        <w:t xml:space="preserve"> sur les mesures d’endiguement et</w:t>
      </w:r>
      <w:r w:rsidR="00231B31">
        <w:rPr>
          <w:rFonts w:ascii="Comic Sans MS" w:hAnsi="Comic Sans MS"/>
          <w:sz w:val="24"/>
          <w:szCs w:val="24"/>
        </w:rPr>
        <w:t xml:space="preserve"> protection</w:t>
      </w:r>
      <w:r w:rsidR="00091AC2">
        <w:rPr>
          <w:rFonts w:ascii="Comic Sans MS" w:hAnsi="Comic Sans MS"/>
          <w:sz w:val="24"/>
          <w:szCs w:val="24"/>
        </w:rPr>
        <w:t xml:space="preserve"> contre cette épidémie mises en place envers les salariés dans les différents pays de l’Union Européenne ou le groupe Legrand est présent.</w:t>
      </w:r>
    </w:p>
    <w:p w:rsidR="00091AC2" w:rsidRDefault="00091AC2" w:rsidP="00AF7622">
      <w:pPr>
        <w:pStyle w:val="Sansinterligne"/>
        <w:jc w:val="both"/>
        <w:rPr>
          <w:rFonts w:ascii="Comic Sans MS" w:hAnsi="Comic Sans MS"/>
          <w:sz w:val="24"/>
          <w:szCs w:val="24"/>
        </w:rPr>
      </w:pPr>
    </w:p>
    <w:p w:rsidR="00231B31" w:rsidRDefault="00091AC2" w:rsidP="00AF7622">
      <w:pPr>
        <w:pStyle w:val="Sansinterligne"/>
        <w:jc w:val="both"/>
        <w:rPr>
          <w:rFonts w:ascii="Comic Sans MS" w:hAnsi="Comic Sans MS"/>
          <w:sz w:val="24"/>
          <w:szCs w:val="24"/>
        </w:rPr>
      </w:pPr>
      <w:r>
        <w:rPr>
          <w:rFonts w:ascii="Comic Sans MS" w:hAnsi="Comic Sans MS"/>
          <w:sz w:val="24"/>
          <w:szCs w:val="24"/>
        </w:rPr>
        <w:t xml:space="preserve">Il est également à noter que les instances de représentation du personnel de chaque pays n’ont </w:t>
      </w:r>
      <w:r w:rsidR="003C072B">
        <w:rPr>
          <w:rFonts w:ascii="Comic Sans MS" w:hAnsi="Comic Sans MS"/>
          <w:sz w:val="24"/>
          <w:szCs w:val="24"/>
        </w:rPr>
        <w:t>que peu</w:t>
      </w:r>
      <w:r>
        <w:rPr>
          <w:rFonts w:ascii="Comic Sans MS" w:hAnsi="Comic Sans MS"/>
          <w:sz w:val="24"/>
          <w:szCs w:val="24"/>
        </w:rPr>
        <w:t xml:space="preserve"> </w:t>
      </w:r>
      <w:proofErr w:type="gramStart"/>
      <w:r>
        <w:rPr>
          <w:rFonts w:ascii="Comic Sans MS" w:hAnsi="Comic Sans MS"/>
          <w:sz w:val="24"/>
          <w:szCs w:val="24"/>
        </w:rPr>
        <w:t xml:space="preserve">( </w:t>
      </w:r>
      <w:r w:rsidR="003C072B">
        <w:rPr>
          <w:rFonts w:ascii="Comic Sans MS" w:hAnsi="Comic Sans MS"/>
          <w:sz w:val="24"/>
          <w:szCs w:val="24"/>
        </w:rPr>
        <w:t>ou</w:t>
      </w:r>
      <w:proofErr w:type="gramEnd"/>
      <w:r w:rsidR="003C072B">
        <w:rPr>
          <w:rFonts w:ascii="Comic Sans MS" w:hAnsi="Comic Sans MS"/>
          <w:sz w:val="24"/>
          <w:szCs w:val="24"/>
        </w:rPr>
        <w:t xml:space="preserve"> pas du tout</w:t>
      </w:r>
      <w:r>
        <w:rPr>
          <w:rFonts w:ascii="Comic Sans MS" w:hAnsi="Comic Sans MS"/>
          <w:sz w:val="24"/>
          <w:szCs w:val="24"/>
        </w:rPr>
        <w:t xml:space="preserve"> ) été informées et co</w:t>
      </w:r>
      <w:r w:rsidR="003C072B">
        <w:rPr>
          <w:rFonts w:ascii="Comic Sans MS" w:hAnsi="Comic Sans MS"/>
          <w:sz w:val="24"/>
          <w:szCs w:val="24"/>
        </w:rPr>
        <w:t>nsultées sur la meilleure façon de faire face à la situation.</w:t>
      </w:r>
    </w:p>
    <w:p w:rsidR="00091AC2" w:rsidRDefault="00091AC2" w:rsidP="00AF7622">
      <w:pPr>
        <w:pStyle w:val="Sansinterligne"/>
        <w:jc w:val="both"/>
        <w:rPr>
          <w:rFonts w:ascii="Comic Sans MS" w:hAnsi="Comic Sans MS"/>
          <w:sz w:val="24"/>
          <w:szCs w:val="24"/>
        </w:rPr>
      </w:pPr>
    </w:p>
    <w:p w:rsidR="00091AC2" w:rsidRDefault="00091AC2" w:rsidP="00AF7622">
      <w:pPr>
        <w:pStyle w:val="Sansinterligne"/>
        <w:jc w:val="both"/>
        <w:rPr>
          <w:rFonts w:ascii="Comic Sans MS" w:hAnsi="Comic Sans MS"/>
          <w:sz w:val="24"/>
          <w:szCs w:val="24"/>
        </w:rPr>
      </w:pPr>
      <w:r>
        <w:rPr>
          <w:rFonts w:ascii="Comic Sans MS" w:hAnsi="Comic Sans MS"/>
          <w:sz w:val="24"/>
          <w:szCs w:val="24"/>
        </w:rPr>
        <w:t>Ces faits ne sont pas dignes d’une entreprise multinationale</w:t>
      </w:r>
      <w:r w:rsidR="00E7498A">
        <w:rPr>
          <w:rFonts w:ascii="Comic Sans MS" w:hAnsi="Comic Sans MS"/>
          <w:sz w:val="24"/>
          <w:szCs w:val="24"/>
        </w:rPr>
        <w:t xml:space="preserve"> cotée au CAC 40 qui met en avant de façon régulière sa politique RSE et qui pr</w:t>
      </w:r>
      <w:r w:rsidR="003C072B">
        <w:rPr>
          <w:rFonts w:ascii="Comic Sans MS" w:hAnsi="Comic Sans MS"/>
          <w:sz w:val="24"/>
          <w:szCs w:val="24"/>
        </w:rPr>
        <w:t>ône le dialogue social ce qui peut constituer un délit d’entrave.</w:t>
      </w:r>
    </w:p>
    <w:p w:rsidR="003C072B" w:rsidRDefault="003C072B" w:rsidP="00AF7622">
      <w:pPr>
        <w:pStyle w:val="Sansinterligne"/>
        <w:jc w:val="both"/>
        <w:rPr>
          <w:rFonts w:ascii="Comic Sans MS" w:hAnsi="Comic Sans MS"/>
          <w:sz w:val="24"/>
          <w:szCs w:val="24"/>
        </w:rPr>
      </w:pPr>
    </w:p>
    <w:p w:rsidR="003C072B" w:rsidRDefault="003C072B" w:rsidP="00AF7622">
      <w:pPr>
        <w:pStyle w:val="Sansinterligne"/>
        <w:jc w:val="both"/>
        <w:rPr>
          <w:rFonts w:ascii="Comic Sans MS" w:hAnsi="Comic Sans MS"/>
          <w:sz w:val="24"/>
          <w:szCs w:val="24"/>
        </w:rPr>
      </w:pPr>
    </w:p>
    <w:p w:rsidR="003C072B" w:rsidRDefault="003C072B" w:rsidP="003C072B">
      <w:pPr>
        <w:pStyle w:val="Sansinterligne"/>
        <w:jc w:val="both"/>
        <w:rPr>
          <w:rFonts w:ascii="Comic Sans MS" w:hAnsi="Comic Sans MS"/>
          <w:sz w:val="24"/>
          <w:szCs w:val="24"/>
        </w:rPr>
      </w:pPr>
      <w:r w:rsidRPr="003C072B">
        <w:rPr>
          <w:rFonts w:ascii="Comic Sans MS" w:hAnsi="Comic Sans MS"/>
          <w:sz w:val="24"/>
          <w:szCs w:val="24"/>
        </w:rPr>
        <w:t>-</w:t>
      </w:r>
      <w:r>
        <w:rPr>
          <w:rFonts w:ascii="Comic Sans MS" w:hAnsi="Comic Sans MS"/>
          <w:sz w:val="24"/>
          <w:szCs w:val="24"/>
        </w:rPr>
        <w:t xml:space="preserve"> Dans un second temps, le CEGL est préoccupé par les mesures de continuité de l’activité et les politiques de maintient des rémunérations des salariés en Europe.</w:t>
      </w:r>
    </w:p>
    <w:p w:rsidR="003C072B" w:rsidRDefault="003C072B" w:rsidP="003C072B">
      <w:pPr>
        <w:pStyle w:val="Sansinterligne"/>
        <w:jc w:val="both"/>
        <w:rPr>
          <w:rFonts w:ascii="Comic Sans MS" w:hAnsi="Comic Sans MS"/>
          <w:sz w:val="24"/>
          <w:szCs w:val="24"/>
        </w:rPr>
      </w:pPr>
    </w:p>
    <w:p w:rsidR="00624AEA" w:rsidRDefault="00C22B95" w:rsidP="003C072B">
      <w:pPr>
        <w:pStyle w:val="Sansinterligne"/>
        <w:jc w:val="both"/>
        <w:rPr>
          <w:rFonts w:ascii="Comic Sans MS" w:hAnsi="Comic Sans MS"/>
          <w:sz w:val="24"/>
          <w:szCs w:val="24"/>
        </w:rPr>
      </w:pPr>
      <w:r>
        <w:rPr>
          <w:rFonts w:ascii="Comic Sans MS" w:hAnsi="Comic Sans MS"/>
          <w:sz w:val="24"/>
          <w:szCs w:val="24"/>
        </w:rPr>
        <w:t>Les membres du bureau du CEGL, au travers des membres présents dans les principaux pays européens, constatent que les politiques sociales du groupe Legrand ne sont pas coordonnées</w:t>
      </w:r>
      <w:r w:rsidR="00E6291D">
        <w:rPr>
          <w:rFonts w:ascii="Comic Sans MS" w:hAnsi="Comic Sans MS"/>
          <w:sz w:val="24"/>
          <w:szCs w:val="24"/>
        </w:rPr>
        <w:t>.</w:t>
      </w:r>
    </w:p>
    <w:p w:rsidR="00624AEA" w:rsidRDefault="00624AEA" w:rsidP="003C072B">
      <w:pPr>
        <w:pStyle w:val="Sansinterligne"/>
        <w:jc w:val="both"/>
        <w:rPr>
          <w:rFonts w:ascii="Comic Sans MS" w:hAnsi="Comic Sans MS"/>
          <w:sz w:val="24"/>
          <w:szCs w:val="24"/>
        </w:rPr>
      </w:pPr>
    </w:p>
    <w:p w:rsidR="00E6291D" w:rsidRDefault="00624AEA" w:rsidP="003C072B">
      <w:pPr>
        <w:pStyle w:val="Sansinterligne"/>
        <w:jc w:val="both"/>
        <w:rPr>
          <w:rFonts w:ascii="Comic Sans MS" w:hAnsi="Comic Sans MS"/>
          <w:sz w:val="24"/>
          <w:szCs w:val="24"/>
        </w:rPr>
      </w:pPr>
      <w:r>
        <w:rPr>
          <w:rFonts w:ascii="Comic Sans MS" w:hAnsi="Comic Sans MS"/>
          <w:sz w:val="24"/>
          <w:szCs w:val="24"/>
        </w:rPr>
        <w:t>Le maintient, dans certains pays, d’une activité nécessitant une présence physique perdure</w:t>
      </w:r>
      <w:r w:rsidR="003609B1">
        <w:rPr>
          <w:rFonts w:ascii="Comic Sans MS" w:hAnsi="Comic Sans MS"/>
          <w:sz w:val="24"/>
          <w:szCs w:val="24"/>
        </w:rPr>
        <w:t xml:space="preserve"> </w:t>
      </w:r>
      <w:r>
        <w:rPr>
          <w:rFonts w:ascii="Comic Sans MS" w:hAnsi="Comic Sans MS"/>
          <w:sz w:val="24"/>
          <w:szCs w:val="24"/>
        </w:rPr>
        <w:t>malgré les consignes des différents gouvernements qui prônent le</w:t>
      </w:r>
      <w:r w:rsidR="00E6291D">
        <w:rPr>
          <w:rFonts w:ascii="Comic Sans MS" w:hAnsi="Comic Sans MS"/>
          <w:sz w:val="24"/>
          <w:szCs w:val="24"/>
        </w:rPr>
        <w:t xml:space="preserve"> </w:t>
      </w:r>
      <w:r w:rsidR="00C335E7">
        <w:rPr>
          <w:rFonts w:ascii="Comic Sans MS" w:hAnsi="Comic Sans MS"/>
          <w:sz w:val="24"/>
          <w:szCs w:val="24"/>
        </w:rPr>
        <w:t>confinement à domicile</w:t>
      </w:r>
      <w:r w:rsidR="003609B1">
        <w:rPr>
          <w:rFonts w:ascii="Comic Sans MS" w:hAnsi="Comic Sans MS"/>
          <w:sz w:val="24"/>
          <w:szCs w:val="24"/>
        </w:rPr>
        <w:t xml:space="preserve">. Cette </w:t>
      </w:r>
      <w:r w:rsidR="00C335E7">
        <w:rPr>
          <w:rFonts w:ascii="Comic Sans MS" w:hAnsi="Comic Sans MS"/>
          <w:sz w:val="24"/>
          <w:szCs w:val="24"/>
        </w:rPr>
        <w:t xml:space="preserve">pratique </w:t>
      </w:r>
      <w:r w:rsidR="003609B1">
        <w:rPr>
          <w:rFonts w:ascii="Comic Sans MS" w:hAnsi="Comic Sans MS"/>
          <w:sz w:val="24"/>
          <w:szCs w:val="24"/>
        </w:rPr>
        <w:t xml:space="preserve">peut être </w:t>
      </w:r>
      <w:r w:rsidR="00C335E7">
        <w:rPr>
          <w:rFonts w:ascii="Comic Sans MS" w:hAnsi="Comic Sans MS"/>
          <w:sz w:val="24"/>
          <w:szCs w:val="24"/>
        </w:rPr>
        <w:t>dangereuse pour la santé des salariés</w:t>
      </w:r>
      <w:r w:rsidR="00750192">
        <w:rPr>
          <w:rFonts w:ascii="Comic Sans MS" w:hAnsi="Comic Sans MS"/>
          <w:sz w:val="24"/>
          <w:szCs w:val="24"/>
        </w:rPr>
        <w:t xml:space="preserve"> et celle de leurs proches</w:t>
      </w:r>
      <w:r w:rsidR="00C335E7">
        <w:rPr>
          <w:rFonts w:ascii="Comic Sans MS" w:hAnsi="Comic Sans MS"/>
          <w:sz w:val="24"/>
          <w:szCs w:val="24"/>
        </w:rPr>
        <w:t xml:space="preserve"> car les moyens de protection individuelle ne sont pas à disposition et la distanciation sociale est difficile à respecter </w:t>
      </w:r>
      <w:r w:rsidR="00750192">
        <w:rPr>
          <w:rFonts w:ascii="Comic Sans MS" w:hAnsi="Comic Sans MS"/>
          <w:sz w:val="24"/>
          <w:szCs w:val="24"/>
        </w:rPr>
        <w:t xml:space="preserve">principalement </w:t>
      </w:r>
      <w:r w:rsidR="00C335E7">
        <w:rPr>
          <w:rFonts w:ascii="Comic Sans MS" w:hAnsi="Comic Sans MS"/>
          <w:sz w:val="24"/>
          <w:szCs w:val="24"/>
        </w:rPr>
        <w:t xml:space="preserve">dans les </w:t>
      </w:r>
      <w:r w:rsidR="003609B1">
        <w:rPr>
          <w:rFonts w:ascii="Comic Sans MS" w:hAnsi="Comic Sans MS"/>
          <w:sz w:val="24"/>
          <w:szCs w:val="24"/>
        </w:rPr>
        <w:t xml:space="preserve">différents </w:t>
      </w:r>
      <w:r w:rsidR="00C335E7">
        <w:rPr>
          <w:rFonts w:ascii="Comic Sans MS" w:hAnsi="Comic Sans MS"/>
          <w:sz w:val="24"/>
          <w:szCs w:val="24"/>
        </w:rPr>
        <w:t>processus de production industrielle.</w:t>
      </w:r>
    </w:p>
    <w:p w:rsidR="00E6291D" w:rsidRDefault="00E6291D" w:rsidP="003C072B">
      <w:pPr>
        <w:pStyle w:val="Sansinterligne"/>
        <w:jc w:val="both"/>
        <w:rPr>
          <w:rFonts w:ascii="Comic Sans MS" w:hAnsi="Comic Sans MS"/>
          <w:sz w:val="24"/>
          <w:szCs w:val="24"/>
        </w:rPr>
      </w:pPr>
    </w:p>
    <w:p w:rsidR="003C072B" w:rsidRDefault="00E6291D" w:rsidP="003C072B">
      <w:pPr>
        <w:pStyle w:val="Sansinterligne"/>
        <w:jc w:val="both"/>
        <w:rPr>
          <w:rFonts w:ascii="Comic Sans MS" w:hAnsi="Comic Sans MS"/>
          <w:sz w:val="24"/>
          <w:szCs w:val="24"/>
        </w:rPr>
      </w:pPr>
      <w:r>
        <w:rPr>
          <w:rFonts w:ascii="Comic Sans MS" w:hAnsi="Comic Sans MS"/>
          <w:sz w:val="24"/>
          <w:szCs w:val="24"/>
        </w:rPr>
        <w:t>Si dans des pays comme l’Italie et l’Espagne, une mesure de chômage partiel est en place, en France, les dirigeants repoussent cette mesure au maximum en forçant les salariés à poser des jours de congés et des heures de réduction du temps de travail afin de garder la possibilité de verser des dividendes aux actionnaires</w:t>
      </w:r>
      <w:r w:rsidR="00994630">
        <w:rPr>
          <w:rFonts w:ascii="Comic Sans MS" w:hAnsi="Comic Sans MS"/>
          <w:sz w:val="24"/>
          <w:szCs w:val="24"/>
        </w:rPr>
        <w:t xml:space="preserve">. </w:t>
      </w:r>
      <w:proofErr w:type="gramStart"/>
      <w:r w:rsidRPr="00E6291D">
        <w:rPr>
          <w:rFonts w:ascii="Comic Sans MS" w:hAnsi="Comic Sans MS"/>
          <w:i/>
          <w:sz w:val="24"/>
          <w:szCs w:val="24"/>
        </w:rPr>
        <w:t>( à</w:t>
      </w:r>
      <w:proofErr w:type="gramEnd"/>
      <w:r w:rsidRPr="00E6291D">
        <w:rPr>
          <w:rFonts w:ascii="Comic Sans MS" w:hAnsi="Comic Sans MS"/>
          <w:i/>
          <w:sz w:val="24"/>
          <w:szCs w:val="24"/>
        </w:rPr>
        <w:t xml:space="preserve"> noter que le groupe L</w:t>
      </w:r>
      <w:r w:rsidR="00994630">
        <w:rPr>
          <w:rFonts w:ascii="Comic Sans MS" w:hAnsi="Comic Sans MS"/>
          <w:i/>
          <w:sz w:val="24"/>
          <w:szCs w:val="24"/>
        </w:rPr>
        <w:t>egrand à versé 2,</w:t>
      </w:r>
      <w:r w:rsidRPr="00E6291D">
        <w:rPr>
          <w:rFonts w:ascii="Comic Sans MS" w:hAnsi="Comic Sans MS"/>
          <w:i/>
          <w:sz w:val="24"/>
          <w:szCs w:val="24"/>
        </w:rPr>
        <w:t>45</w:t>
      </w:r>
      <w:r w:rsidR="00D17794">
        <w:rPr>
          <w:rFonts w:ascii="Comic Sans MS" w:hAnsi="Comic Sans MS"/>
          <w:i/>
          <w:sz w:val="24"/>
          <w:szCs w:val="24"/>
        </w:rPr>
        <w:t>8</w:t>
      </w:r>
      <w:r w:rsidRPr="00E6291D">
        <w:rPr>
          <w:rFonts w:ascii="Comic Sans MS" w:hAnsi="Comic Sans MS"/>
          <w:i/>
          <w:sz w:val="24"/>
          <w:szCs w:val="24"/>
        </w:rPr>
        <w:t xml:space="preserve"> milliards d’euros à ses actionnaires entre 2010 et 2018 ).</w:t>
      </w:r>
    </w:p>
    <w:p w:rsidR="00E6291D" w:rsidRDefault="00E6291D" w:rsidP="003C072B">
      <w:pPr>
        <w:pStyle w:val="Sansinterligne"/>
        <w:jc w:val="both"/>
        <w:rPr>
          <w:rFonts w:ascii="Comic Sans MS" w:hAnsi="Comic Sans MS"/>
          <w:sz w:val="24"/>
          <w:szCs w:val="24"/>
        </w:rPr>
      </w:pPr>
    </w:p>
    <w:p w:rsidR="00E6291D" w:rsidRDefault="00750192" w:rsidP="003C072B">
      <w:pPr>
        <w:pStyle w:val="Sansinterligne"/>
        <w:jc w:val="both"/>
        <w:rPr>
          <w:rFonts w:ascii="Comic Sans MS" w:hAnsi="Comic Sans MS"/>
          <w:sz w:val="24"/>
          <w:szCs w:val="24"/>
        </w:rPr>
      </w:pPr>
      <w:r>
        <w:rPr>
          <w:rFonts w:ascii="Comic Sans MS" w:hAnsi="Comic Sans MS"/>
          <w:sz w:val="24"/>
          <w:szCs w:val="24"/>
        </w:rPr>
        <w:t>De même, une baisse de la rémunération de</w:t>
      </w:r>
      <w:r w:rsidR="00E6291D">
        <w:rPr>
          <w:rFonts w:ascii="Comic Sans MS" w:hAnsi="Comic Sans MS"/>
          <w:sz w:val="24"/>
          <w:szCs w:val="24"/>
        </w:rPr>
        <w:t xml:space="preserve"> certaines catégories de salariés à été mise en place dans certains pays</w:t>
      </w:r>
      <w:r w:rsidR="00994630">
        <w:rPr>
          <w:rFonts w:ascii="Comic Sans MS" w:hAnsi="Comic Sans MS"/>
          <w:sz w:val="24"/>
          <w:szCs w:val="24"/>
        </w:rPr>
        <w:t xml:space="preserve"> européens ce qui risque d’entrainer des situations personnelles dramatiques pour les personnes les plus fragiles </w:t>
      </w:r>
      <w:r w:rsidR="00D8047D">
        <w:rPr>
          <w:rFonts w:ascii="Comic Sans MS" w:hAnsi="Comic Sans MS"/>
          <w:sz w:val="24"/>
          <w:szCs w:val="24"/>
        </w:rPr>
        <w:t>financièrement</w:t>
      </w:r>
      <w:r w:rsidR="00994630">
        <w:rPr>
          <w:rFonts w:ascii="Comic Sans MS" w:hAnsi="Comic Sans MS"/>
          <w:sz w:val="24"/>
          <w:szCs w:val="24"/>
        </w:rPr>
        <w:t>.</w:t>
      </w:r>
    </w:p>
    <w:p w:rsidR="00D8047D" w:rsidRDefault="00D8047D" w:rsidP="003C072B">
      <w:pPr>
        <w:pStyle w:val="Sansinterligne"/>
        <w:jc w:val="both"/>
        <w:rPr>
          <w:rFonts w:ascii="Comic Sans MS" w:hAnsi="Comic Sans MS"/>
          <w:sz w:val="24"/>
          <w:szCs w:val="24"/>
        </w:rPr>
      </w:pPr>
    </w:p>
    <w:p w:rsidR="00D8047D" w:rsidRDefault="00D8047D" w:rsidP="003C072B">
      <w:pPr>
        <w:pStyle w:val="Sansinterligne"/>
        <w:jc w:val="both"/>
        <w:rPr>
          <w:rFonts w:ascii="Comic Sans MS" w:hAnsi="Comic Sans MS"/>
          <w:sz w:val="24"/>
          <w:szCs w:val="24"/>
        </w:rPr>
      </w:pPr>
      <w:r>
        <w:rPr>
          <w:rFonts w:ascii="Comic Sans MS" w:hAnsi="Comic Sans MS"/>
          <w:sz w:val="24"/>
          <w:szCs w:val="24"/>
        </w:rPr>
        <w:t xml:space="preserve">Le CEGL craint également que le groupe ne profite de cette situation pour procéder à des réductions d’effectifs dans les pays ou les </w:t>
      </w:r>
      <w:r w:rsidR="003609B1">
        <w:rPr>
          <w:rFonts w:ascii="Comic Sans MS" w:hAnsi="Comic Sans MS"/>
          <w:sz w:val="24"/>
          <w:szCs w:val="24"/>
        </w:rPr>
        <w:t>législations</w:t>
      </w:r>
      <w:r>
        <w:rPr>
          <w:rFonts w:ascii="Comic Sans MS" w:hAnsi="Comic Sans MS"/>
          <w:sz w:val="24"/>
          <w:szCs w:val="24"/>
        </w:rPr>
        <w:t xml:space="preserve"> locales leur permettent de </w:t>
      </w:r>
      <w:r w:rsidR="00714F71">
        <w:rPr>
          <w:rFonts w:ascii="Comic Sans MS" w:hAnsi="Comic Sans MS"/>
          <w:sz w:val="24"/>
          <w:szCs w:val="24"/>
        </w:rPr>
        <w:t xml:space="preserve">le faire de manière simplifiées. Dans de nombreux états de l’Union Européenne, on constate que les gouvernements légifèrent par ordonnances afin de supprimer les acquis sociaux </w:t>
      </w:r>
      <w:proofErr w:type="gramStart"/>
      <w:r w:rsidR="00714F71">
        <w:rPr>
          <w:rFonts w:ascii="Comic Sans MS" w:hAnsi="Comic Sans MS"/>
          <w:sz w:val="24"/>
          <w:szCs w:val="24"/>
        </w:rPr>
        <w:t>( sans</w:t>
      </w:r>
      <w:proofErr w:type="gramEnd"/>
      <w:r w:rsidR="00714F71">
        <w:rPr>
          <w:rFonts w:ascii="Comic Sans MS" w:hAnsi="Comic Sans MS"/>
          <w:sz w:val="24"/>
          <w:szCs w:val="24"/>
        </w:rPr>
        <w:t xml:space="preserve"> dates limites ) dont bénéficient les salariés !</w:t>
      </w:r>
    </w:p>
    <w:p w:rsidR="00D8047D" w:rsidRDefault="00D8047D" w:rsidP="003C072B">
      <w:pPr>
        <w:pStyle w:val="Sansinterligne"/>
        <w:jc w:val="both"/>
        <w:rPr>
          <w:rFonts w:ascii="Comic Sans MS" w:hAnsi="Comic Sans MS"/>
          <w:sz w:val="24"/>
          <w:szCs w:val="24"/>
        </w:rPr>
      </w:pPr>
    </w:p>
    <w:p w:rsidR="008A498A" w:rsidRDefault="008A498A" w:rsidP="003C072B">
      <w:pPr>
        <w:pStyle w:val="Sansinterligne"/>
        <w:jc w:val="both"/>
        <w:rPr>
          <w:rFonts w:ascii="Comic Sans MS" w:hAnsi="Comic Sans MS"/>
          <w:sz w:val="24"/>
          <w:szCs w:val="24"/>
        </w:rPr>
      </w:pPr>
    </w:p>
    <w:p w:rsidR="00D8047D" w:rsidRPr="00750192" w:rsidRDefault="00D8047D" w:rsidP="003C072B">
      <w:pPr>
        <w:pStyle w:val="Sansinterligne"/>
        <w:jc w:val="both"/>
        <w:rPr>
          <w:rFonts w:ascii="Comic Sans MS" w:hAnsi="Comic Sans MS"/>
          <w:b/>
          <w:sz w:val="24"/>
          <w:szCs w:val="24"/>
        </w:rPr>
      </w:pPr>
      <w:r w:rsidRPr="00750192">
        <w:rPr>
          <w:rFonts w:ascii="Comic Sans MS" w:hAnsi="Comic Sans MS"/>
          <w:b/>
          <w:sz w:val="24"/>
          <w:szCs w:val="24"/>
        </w:rPr>
        <w:t>De part ces éléments, le Comité d’Entreprise Européen du Groupe Legrand par l’intermédiaire de son bureau va se montrer extrêmement vigilent sur les décisions prises par la direction et entreprendra les actions nécessaires afin de garantir</w:t>
      </w:r>
      <w:r w:rsidR="008A498A" w:rsidRPr="00750192">
        <w:rPr>
          <w:rFonts w:ascii="Comic Sans MS" w:hAnsi="Comic Sans MS"/>
          <w:b/>
          <w:sz w:val="24"/>
          <w:szCs w:val="24"/>
        </w:rPr>
        <w:t xml:space="preserve"> les intérêts des salariés.</w:t>
      </w:r>
    </w:p>
    <w:p w:rsidR="008A498A" w:rsidRDefault="008A498A" w:rsidP="003C072B">
      <w:pPr>
        <w:pStyle w:val="Sansinterligne"/>
        <w:jc w:val="both"/>
        <w:rPr>
          <w:rFonts w:ascii="Comic Sans MS" w:hAnsi="Comic Sans MS"/>
          <w:sz w:val="24"/>
          <w:szCs w:val="24"/>
        </w:rPr>
      </w:pPr>
    </w:p>
    <w:p w:rsidR="001A7726" w:rsidRDefault="001A7726" w:rsidP="003C072B">
      <w:pPr>
        <w:pStyle w:val="Sansinterligne"/>
        <w:jc w:val="both"/>
        <w:rPr>
          <w:rFonts w:ascii="Comic Sans MS" w:hAnsi="Comic Sans MS"/>
          <w:sz w:val="24"/>
          <w:szCs w:val="24"/>
        </w:rPr>
      </w:pPr>
    </w:p>
    <w:p w:rsidR="00714F71" w:rsidRDefault="00714F71" w:rsidP="003C072B">
      <w:pPr>
        <w:pStyle w:val="Sansinterligne"/>
        <w:jc w:val="both"/>
        <w:rPr>
          <w:rFonts w:ascii="Comic Sans MS" w:hAnsi="Comic Sans MS"/>
          <w:sz w:val="24"/>
          <w:szCs w:val="24"/>
        </w:rPr>
      </w:pPr>
    </w:p>
    <w:p w:rsidR="00714F71" w:rsidRDefault="00714F71" w:rsidP="003C072B">
      <w:pPr>
        <w:pStyle w:val="Sansinterligne"/>
        <w:jc w:val="both"/>
        <w:rPr>
          <w:rFonts w:ascii="Comic Sans MS" w:hAnsi="Comic Sans MS"/>
          <w:sz w:val="24"/>
          <w:szCs w:val="24"/>
        </w:rPr>
      </w:pPr>
    </w:p>
    <w:p w:rsidR="00714F71" w:rsidRDefault="00714F71" w:rsidP="003C072B">
      <w:pPr>
        <w:pStyle w:val="Sansinterligne"/>
        <w:jc w:val="both"/>
        <w:rPr>
          <w:rFonts w:ascii="Comic Sans MS" w:hAnsi="Comic Sans MS"/>
          <w:sz w:val="24"/>
          <w:szCs w:val="24"/>
        </w:rPr>
      </w:pPr>
    </w:p>
    <w:p w:rsidR="00714F71" w:rsidRDefault="00714F71" w:rsidP="003C072B">
      <w:pPr>
        <w:pStyle w:val="Sansinterligne"/>
        <w:jc w:val="both"/>
        <w:rPr>
          <w:rFonts w:ascii="Comic Sans MS" w:hAnsi="Comic Sans MS"/>
          <w:sz w:val="24"/>
          <w:szCs w:val="24"/>
        </w:rPr>
      </w:pPr>
    </w:p>
    <w:p w:rsidR="00714F71" w:rsidRDefault="00714F71" w:rsidP="003C072B">
      <w:pPr>
        <w:pStyle w:val="Sansinterligne"/>
        <w:jc w:val="both"/>
        <w:rPr>
          <w:rFonts w:ascii="Comic Sans MS" w:hAnsi="Comic Sans MS"/>
          <w:sz w:val="24"/>
          <w:szCs w:val="24"/>
        </w:rPr>
      </w:pPr>
    </w:p>
    <w:p w:rsidR="003C072B" w:rsidRPr="001A7726" w:rsidRDefault="001A7726" w:rsidP="00AF7622">
      <w:pPr>
        <w:pStyle w:val="Sansinterligne"/>
        <w:jc w:val="both"/>
        <w:rPr>
          <w:rFonts w:ascii="Comic Sans MS" w:hAnsi="Comic Sans MS"/>
          <w:i/>
          <w:sz w:val="24"/>
          <w:szCs w:val="24"/>
        </w:rPr>
      </w:pPr>
      <w:r w:rsidRPr="001A7726">
        <w:rPr>
          <w:rFonts w:ascii="Comic Sans MS" w:hAnsi="Comic Sans MS"/>
          <w:i/>
          <w:sz w:val="24"/>
          <w:szCs w:val="24"/>
        </w:rPr>
        <w:t xml:space="preserve">Rappels sur les principaux résultats du Groupe Legrand </w:t>
      </w:r>
      <w:proofErr w:type="gramStart"/>
      <w:r w:rsidRPr="001A7726">
        <w:rPr>
          <w:rFonts w:ascii="Comic Sans MS" w:hAnsi="Comic Sans MS"/>
          <w:i/>
          <w:sz w:val="24"/>
          <w:szCs w:val="24"/>
        </w:rPr>
        <w:t>( données</w:t>
      </w:r>
      <w:proofErr w:type="gramEnd"/>
      <w:r w:rsidRPr="001A7726">
        <w:rPr>
          <w:rFonts w:ascii="Comic Sans MS" w:hAnsi="Comic Sans MS"/>
          <w:i/>
          <w:sz w:val="24"/>
          <w:szCs w:val="24"/>
        </w:rPr>
        <w:t xml:space="preserve"> issues du document de référence )</w:t>
      </w:r>
    </w:p>
    <w:p w:rsidR="003C072B" w:rsidRDefault="003C072B" w:rsidP="00AF7622">
      <w:pPr>
        <w:pStyle w:val="Sansinterligne"/>
        <w:jc w:val="both"/>
        <w:rPr>
          <w:rFonts w:ascii="Comic Sans MS" w:hAnsi="Comic Sans MS"/>
          <w:sz w:val="24"/>
          <w:szCs w:val="24"/>
        </w:rPr>
      </w:pPr>
    </w:p>
    <w:tbl>
      <w:tblPr>
        <w:tblStyle w:val="Grilledutableau"/>
        <w:tblW w:w="0" w:type="auto"/>
        <w:jc w:val="center"/>
        <w:tblInd w:w="-533" w:type="dxa"/>
        <w:tblLook w:val="04A0"/>
      </w:tblPr>
      <w:tblGrid>
        <w:gridCol w:w="1775"/>
        <w:gridCol w:w="2892"/>
        <w:gridCol w:w="2893"/>
        <w:gridCol w:w="2893"/>
      </w:tblGrid>
      <w:tr w:rsidR="001A7726" w:rsidRPr="000C23F6" w:rsidTr="001A7726">
        <w:trPr>
          <w:trHeight w:val="973"/>
          <w:jc w:val="center"/>
        </w:trPr>
        <w:tc>
          <w:tcPr>
            <w:tcW w:w="1775" w:type="dxa"/>
            <w:tcBorders>
              <w:tl2br w:val="single" w:sz="4" w:space="0" w:color="000000" w:themeColor="text1"/>
              <w:tr2bl w:val="single" w:sz="4" w:space="0" w:color="000000" w:themeColor="text1"/>
            </w:tcBorders>
            <w:vAlign w:val="center"/>
          </w:tcPr>
          <w:p w:rsidR="001A7726" w:rsidRPr="000C23F6" w:rsidRDefault="001A7726" w:rsidP="0072642E">
            <w:pPr>
              <w:jc w:val="center"/>
              <w:rPr>
                <w:rFonts w:ascii="Comic Sans MS" w:hAnsi="Comic Sans MS"/>
              </w:rPr>
            </w:pPr>
          </w:p>
        </w:tc>
        <w:tc>
          <w:tcPr>
            <w:tcW w:w="2892" w:type="dxa"/>
            <w:vAlign w:val="center"/>
          </w:tcPr>
          <w:p w:rsidR="001A7726" w:rsidRPr="000C23F6" w:rsidRDefault="001A7726" w:rsidP="0072642E">
            <w:pPr>
              <w:jc w:val="center"/>
              <w:rPr>
                <w:rFonts w:ascii="Comic Sans MS" w:hAnsi="Comic Sans MS"/>
                <w:b/>
              </w:rPr>
            </w:pPr>
            <w:r w:rsidRPr="000C23F6">
              <w:rPr>
                <w:rFonts w:ascii="Comic Sans MS" w:hAnsi="Comic Sans MS"/>
                <w:b/>
              </w:rPr>
              <w:t>Chiffre d’Affaire</w:t>
            </w:r>
          </w:p>
          <w:p w:rsidR="001A7726" w:rsidRPr="000C23F6" w:rsidRDefault="001A7726" w:rsidP="0072642E">
            <w:pPr>
              <w:jc w:val="center"/>
              <w:rPr>
                <w:rFonts w:ascii="Comic Sans MS" w:hAnsi="Comic Sans MS"/>
                <w:i/>
                <w:color w:val="FF0000"/>
              </w:rPr>
            </w:pPr>
            <w:r w:rsidRPr="000C23F6">
              <w:rPr>
                <w:rFonts w:ascii="Comic Sans MS" w:hAnsi="Comic Sans MS"/>
                <w:i/>
                <w:color w:val="FF0000"/>
              </w:rPr>
              <w:t>en Milliards d’euros</w:t>
            </w:r>
          </w:p>
        </w:tc>
        <w:tc>
          <w:tcPr>
            <w:tcW w:w="2893" w:type="dxa"/>
            <w:vAlign w:val="center"/>
          </w:tcPr>
          <w:p w:rsidR="001A7726" w:rsidRDefault="001A7726" w:rsidP="0072642E">
            <w:pPr>
              <w:jc w:val="center"/>
              <w:rPr>
                <w:rFonts w:ascii="Comic Sans MS" w:hAnsi="Comic Sans MS"/>
                <w:b/>
              </w:rPr>
            </w:pPr>
            <w:r>
              <w:rPr>
                <w:rFonts w:ascii="Comic Sans MS" w:hAnsi="Comic Sans MS"/>
                <w:b/>
              </w:rPr>
              <w:t>Résultat Net</w:t>
            </w:r>
          </w:p>
          <w:p w:rsidR="001A7726" w:rsidRPr="000C23F6" w:rsidRDefault="001A7726" w:rsidP="0072642E">
            <w:pPr>
              <w:jc w:val="center"/>
              <w:rPr>
                <w:rFonts w:ascii="Comic Sans MS" w:hAnsi="Comic Sans MS"/>
                <w:b/>
              </w:rPr>
            </w:pPr>
            <w:proofErr w:type="gramStart"/>
            <w:r w:rsidRPr="000C23F6">
              <w:rPr>
                <w:rFonts w:ascii="Comic Sans MS" w:hAnsi="Comic Sans MS"/>
                <w:b/>
              </w:rPr>
              <w:t>( Bénéfices</w:t>
            </w:r>
            <w:proofErr w:type="gramEnd"/>
            <w:r w:rsidRPr="000C23F6">
              <w:rPr>
                <w:rFonts w:ascii="Comic Sans MS" w:hAnsi="Comic Sans MS"/>
                <w:b/>
              </w:rPr>
              <w:t xml:space="preserve"> )</w:t>
            </w:r>
          </w:p>
          <w:p w:rsidR="001A7726" w:rsidRPr="000C23F6" w:rsidRDefault="001A7726" w:rsidP="0072642E">
            <w:pPr>
              <w:jc w:val="center"/>
              <w:rPr>
                <w:rFonts w:ascii="Comic Sans MS" w:hAnsi="Comic Sans MS"/>
                <w:i/>
                <w:color w:val="FF0000"/>
              </w:rPr>
            </w:pPr>
            <w:r w:rsidRPr="000C23F6">
              <w:rPr>
                <w:rFonts w:ascii="Comic Sans MS" w:hAnsi="Comic Sans MS"/>
                <w:i/>
                <w:color w:val="FF0000"/>
              </w:rPr>
              <w:t>en Millions d’euros</w:t>
            </w:r>
          </w:p>
        </w:tc>
        <w:tc>
          <w:tcPr>
            <w:tcW w:w="2893" w:type="dxa"/>
            <w:vAlign w:val="center"/>
          </w:tcPr>
          <w:p w:rsidR="001A7726" w:rsidRPr="000C23F6" w:rsidRDefault="001A7726" w:rsidP="0072642E">
            <w:pPr>
              <w:jc w:val="center"/>
              <w:rPr>
                <w:rFonts w:ascii="Comic Sans MS" w:hAnsi="Comic Sans MS"/>
                <w:b/>
              </w:rPr>
            </w:pPr>
            <w:r w:rsidRPr="000C23F6">
              <w:rPr>
                <w:rFonts w:ascii="Comic Sans MS" w:hAnsi="Comic Sans MS"/>
                <w:b/>
              </w:rPr>
              <w:t>Dividendes versés aux Actionnaires</w:t>
            </w:r>
          </w:p>
          <w:p w:rsidR="001A7726" w:rsidRPr="000C23F6" w:rsidRDefault="001A7726" w:rsidP="0072642E">
            <w:pPr>
              <w:jc w:val="center"/>
              <w:rPr>
                <w:rFonts w:ascii="Comic Sans MS" w:hAnsi="Comic Sans MS"/>
                <w:i/>
                <w:color w:val="FF0000"/>
              </w:rPr>
            </w:pPr>
            <w:r w:rsidRPr="000C23F6">
              <w:rPr>
                <w:rFonts w:ascii="Comic Sans MS" w:hAnsi="Comic Sans MS"/>
                <w:i/>
                <w:color w:val="FF0000"/>
              </w:rPr>
              <w:t>En millions d’euros</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2010</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3,890</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419,5</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183,7</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2011</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4,250</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479,3</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231,4</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2012</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4,466</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507</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245</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2013</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4,460</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533,3</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265,1</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2014</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4,499</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533,3</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279,3</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2015</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4,809</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562</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293,1</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2016</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5,018</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631,5</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307,1</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2017</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5,520</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713,2</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317,1</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2018</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5,997</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771,7</w:t>
            </w:r>
          </w:p>
        </w:tc>
        <w:tc>
          <w:tcPr>
            <w:tcW w:w="2893" w:type="dxa"/>
            <w:vAlign w:val="center"/>
          </w:tcPr>
          <w:p w:rsidR="001A7726" w:rsidRPr="000C23F6" w:rsidRDefault="001A7726" w:rsidP="0072642E">
            <w:pPr>
              <w:jc w:val="center"/>
              <w:rPr>
                <w:rFonts w:ascii="Comic Sans MS" w:hAnsi="Comic Sans MS"/>
              </w:rPr>
            </w:pPr>
            <w:r w:rsidRPr="000C23F6">
              <w:rPr>
                <w:rFonts w:ascii="Comic Sans MS" w:hAnsi="Comic Sans MS"/>
              </w:rPr>
              <w:t>336,8</w:t>
            </w:r>
          </w:p>
        </w:tc>
      </w:tr>
      <w:tr w:rsidR="001A7726" w:rsidRPr="000C23F6" w:rsidTr="001A7726">
        <w:trPr>
          <w:trHeight w:val="454"/>
          <w:jc w:val="center"/>
        </w:trPr>
        <w:tc>
          <w:tcPr>
            <w:tcW w:w="1775" w:type="dxa"/>
            <w:vAlign w:val="center"/>
          </w:tcPr>
          <w:p w:rsidR="001A7726" w:rsidRPr="000C23F6" w:rsidRDefault="001A7726" w:rsidP="0072642E">
            <w:pPr>
              <w:jc w:val="center"/>
              <w:rPr>
                <w:rFonts w:ascii="Comic Sans MS" w:hAnsi="Comic Sans MS"/>
              </w:rPr>
            </w:pPr>
            <w:r w:rsidRPr="000C23F6">
              <w:rPr>
                <w:rFonts w:ascii="Comic Sans MS" w:hAnsi="Comic Sans MS"/>
              </w:rPr>
              <w:t>2019</w:t>
            </w:r>
          </w:p>
        </w:tc>
        <w:tc>
          <w:tcPr>
            <w:tcW w:w="2892" w:type="dxa"/>
            <w:vAlign w:val="center"/>
          </w:tcPr>
          <w:p w:rsidR="001A7726" w:rsidRPr="000C23F6" w:rsidRDefault="001A7726" w:rsidP="0072642E">
            <w:pPr>
              <w:jc w:val="center"/>
              <w:rPr>
                <w:rFonts w:ascii="Comic Sans MS" w:hAnsi="Comic Sans MS"/>
              </w:rPr>
            </w:pPr>
            <w:r w:rsidRPr="000C23F6">
              <w:rPr>
                <w:rFonts w:ascii="Comic Sans MS" w:hAnsi="Comic Sans MS"/>
              </w:rPr>
              <w:t>6,622</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834,8</w:t>
            </w:r>
          </w:p>
        </w:tc>
        <w:tc>
          <w:tcPr>
            <w:tcW w:w="2893" w:type="dxa"/>
            <w:vAlign w:val="center"/>
          </w:tcPr>
          <w:p w:rsidR="001A7726" w:rsidRPr="000C23F6" w:rsidRDefault="001A7726" w:rsidP="0072642E">
            <w:pPr>
              <w:jc w:val="center"/>
              <w:rPr>
                <w:rFonts w:ascii="Comic Sans MS" w:hAnsi="Comic Sans MS"/>
              </w:rPr>
            </w:pPr>
            <w:r>
              <w:rPr>
                <w:rFonts w:ascii="Comic Sans MS" w:hAnsi="Comic Sans MS"/>
              </w:rPr>
              <w:t>En attente de versement</w:t>
            </w:r>
          </w:p>
        </w:tc>
      </w:tr>
    </w:tbl>
    <w:p w:rsidR="008A498A" w:rsidRDefault="008A498A" w:rsidP="00AF7622">
      <w:pPr>
        <w:pStyle w:val="Sansinterligne"/>
        <w:jc w:val="both"/>
        <w:rPr>
          <w:rFonts w:ascii="Comic Sans MS" w:hAnsi="Comic Sans MS"/>
          <w:sz w:val="24"/>
          <w:szCs w:val="24"/>
        </w:rPr>
      </w:pPr>
    </w:p>
    <w:p w:rsidR="008A498A" w:rsidRDefault="003609B1" w:rsidP="00AF7622">
      <w:pPr>
        <w:pStyle w:val="Sansinterligne"/>
        <w:jc w:val="both"/>
        <w:rPr>
          <w:rFonts w:ascii="Comic Sans MS" w:hAnsi="Comic Sans MS"/>
          <w:sz w:val="24"/>
          <w:szCs w:val="24"/>
        </w:rPr>
      </w:pPr>
      <w:r>
        <w:rPr>
          <w:rFonts w:ascii="Comic Sans MS" w:hAnsi="Comic Sans MS"/>
          <w:sz w:val="24"/>
          <w:szCs w:val="24"/>
        </w:rPr>
        <w:t>CEGL : Comité d’Entreprise Européen du Groupe Legrand</w:t>
      </w:r>
    </w:p>
    <w:p w:rsidR="003C072B" w:rsidRPr="00AF7622" w:rsidRDefault="003C072B" w:rsidP="00AF7622">
      <w:pPr>
        <w:pStyle w:val="Sansinterligne"/>
        <w:jc w:val="both"/>
        <w:rPr>
          <w:rFonts w:ascii="Comic Sans MS" w:hAnsi="Comic Sans MS"/>
          <w:sz w:val="24"/>
          <w:szCs w:val="24"/>
        </w:rPr>
      </w:pPr>
      <w:r>
        <w:rPr>
          <w:rFonts w:ascii="Comic Sans MS" w:hAnsi="Comic Sans MS"/>
          <w:sz w:val="24"/>
          <w:szCs w:val="24"/>
        </w:rPr>
        <w:t>RSE : Responsabilité Sociétale des Entreprises</w:t>
      </w:r>
    </w:p>
    <w:sectPr w:rsidR="003C072B" w:rsidRPr="00AF7622" w:rsidSect="00714F71">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2694"/>
    <w:multiLevelType w:val="hybridMultilevel"/>
    <w:tmpl w:val="84844344"/>
    <w:lvl w:ilvl="0" w:tplc="595EFDE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2C3310"/>
    <w:multiLevelType w:val="hybridMultilevel"/>
    <w:tmpl w:val="BD24B33E"/>
    <w:lvl w:ilvl="0" w:tplc="BD366AC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622"/>
    <w:rsid w:val="00091AC2"/>
    <w:rsid w:val="00100CBE"/>
    <w:rsid w:val="00187FDE"/>
    <w:rsid w:val="001A7726"/>
    <w:rsid w:val="00231B31"/>
    <w:rsid w:val="003609B1"/>
    <w:rsid w:val="00376E44"/>
    <w:rsid w:val="003C072B"/>
    <w:rsid w:val="00511F8E"/>
    <w:rsid w:val="005A6B44"/>
    <w:rsid w:val="00624AEA"/>
    <w:rsid w:val="00714F71"/>
    <w:rsid w:val="00750192"/>
    <w:rsid w:val="008A498A"/>
    <w:rsid w:val="00994630"/>
    <w:rsid w:val="00AF7622"/>
    <w:rsid w:val="00C22B95"/>
    <w:rsid w:val="00C335E7"/>
    <w:rsid w:val="00D050E7"/>
    <w:rsid w:val="00D17794"/>
    <w:rsid w:val="00D70EDB"/>
    <w:rsid w:val="00D73A74"/>
    <w:rsid w:val="00D8047D"/>
    <w:rsid w:val="00E6291D"/>
    <w:rsid w:val="00E7498A"/>
    <w:rsid w:val="00EE70A4"/>
    <w:rsid w:val="00EF3C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7622"/>
    <w:pPr>
      <w:spacing w:after="0" w:line="240" w:lineRule="auto"/>
    </w:pPr>
  </w:style>
  <w:style w:type="table" w:styleId="Grilledutableau">
    <w:name w:val="Table Grid"/>
    <w:basedOn w:val="TableauNormal"/>
    <w:uiPriority w:val="59"/>
    <w:rsid w:val="001A7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Olivier.S</cp:lastModifiedBy>
  <cp:revision>17</cp:revision>
  <cp:lastPrinted>2020-04-06T12:53:00Z</cp:lastPrinted>
  <dcterms:created xsi:type="dcterms:W3CDTF">2020-04-06T09:12:00Z</dcterms:created>
  <dcterms:modified xsi:type="dcterms:W3CDTF">2020-04-08T15:33:00Z</dcterms:modified>
</cp:coreProperties>
</file>