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842" w:rsidRDefault="00F07A96" w:rsidP="0042031F">
      <w:pPr>
        <w:pBdr>
          <w:top w:val="threeDEngrave" w:sz="24" w:space="0" w:color="auto"/>
          <w:left w:val="threeDEngrave" w:sz="24" w:space="0" w:color="auto"/>
          <w:bottom w:val="threeDEmboss" w:sz="24" w:space="0" w:color="auto"/>
          <w:right w:val="threeDEmboss" w:sz="24" w:space="4" w:color="auto"/>
        </w:pBdr>
        <w:jc w:val="center"/>
        <w:rPr>
          <w:rFonts w:ascii="Arial Rounded MT Bold" w:hAnsi="Arial Rounded MT Bold" w:cs="Arial"/>
          <w:bCs/>
          <w:sz w:val="56"/>
          <w:szCs w:val="56"/>
        </w:rPr>
      </w:pPr>
      <w:r w:rsidRPr="00F07A96">
        <w:rPr>
          <w:noProof/>
          <w:sz w:val="56"/>
          <w:szCs w:val="56"/>
        </w:rPr>
        <w:pict>
          <v:group id="_x0000_s1027" style="position:absolute;left:0;text-align:left;margin-left:-12.15pt;margin-top:-12.6pt;width:102.25pt;height:132.75pt;z-index:-251657216" coordorigin="441,594" coordsize="2279,3370" wrapcoords="-142 0 -142 21504 21742 21504 21742 0 -142 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441;top:594;width:2279;height:3020" wrapcoords="-142 0 -142 21493 21600 21493 21600 0 -142 0">
              <v:imagedata r:id="rId8" o:title=""/>
            </v:shape>
            <v:shapetype id="_x0000_t202" coordsize="21600,21600" o:spt="202" path="m,l,21600r21600,l21600,xe">
              <v:stroke joinstyle="miter"/>
              <v:path gradientshapeok="t" o:connecttype="rect"/>
            </v:shapetype>
            <v:shape id="_x0000_s1029" type="#_x0000_t202" style="position:absolute;left:445;top:3604;width:2274;height:360" strokecolor="maroon" strokeweight=".5pt">
              <v:textbox style="mso-next-textbox:#_x0000_s1029">
                <w:txbxContent>
                  <w:p w:rsidR="0034297C" w:rsidRPr="00C20C04" w:rsidRDefault="003530AC" w:rsidP="00A13B78">
                    <w:pPr>
                      <w:rPr>
                        <w:bCs/>
                      </w:rPr>
                    </w:pPr>
                    <w:r>
                      <w:rPr>
                        <w:rFonts w:ascii="Arial Rounded MT Bold" w:hAnsi="Arial Rounded MT Bold" w:cs="Arial"/>
                        <w:b/>
                        <w:color w:val="800000"/>
                        <w:szCs w:val="28"/>
                      </w:rPr>
                      <w:t xml:space="preserve">     </w:t>
                    </w:r>
                    <w:r w:rsidR="00D22DC7">
                      <w:rPr>
                        <w:rFonts w:ascii="Arial Rounded MT Bold" w:hAnsi="Arial Rounded MT Bold" w:cs="Arial"/>
                        <w:b/>
                        <w:color w:val="800000"/>
                        <w:szCs w:val="28"/>
                      </w:rPr>
                      <w:t xml:space="preserve">      </w:t>
                    </w:r>
                  </w:p>
                </w:txbxContent>
              </v:textbox>
            </v:shape>
            <w10:wrap type="tight"/>
          </v:group>
          <o:OLEObject Type="Embed" ProgID="PhotoDeluxe.Image.3" ShapeID="_x0000_s1028" DrawAspect="Content" ObjectID="_1543332961" r:id="rId9"/>
        </w:pict>
      </w:r>
      <w:r w:rsidR="00624842" w:rsidRPr="0064543B">
        <w:rPr>
          <w:rFonts w:ascii="Arial Rounded MT Bold" w:hAnsi="Arial Rounded MT Bold" w:cs="Arial"/>
          <w:b/>
          <w:color w:val="800000"/>
          <w:sz w:val="56"/>
          <w:szCs w:val="56"/>
        </w:rPr>
        <w:t>A</w:t>
      </w:r>
      <w:r w:rsidR="00624842" w:rsidRPr="0064543B">
        <w:rPr>
          <w:rFonts w:ascii="Arial Rounded MT Bold" w:hAnsi="Arial Rounded MT Bold" w:cs="Arial"/>
          <w:bCs/>
          <w:sz w:val="56"/>
          <w:szCs w:val="56"/>
        </w:rPr>
        <w:t>rcelor</w:t>
      </w:r>
      <w:r w:rsidR="00624842" w:rsidRPr="0064543B">
        <w:rPr>
          <w:rFonts w:ascii="Arial Rounded MT Bold" w:hAnsi="Arial Rounded MT Bold" w:cs="Arial"/>
          <w:b/>
          <w:color w:val="800000"/>
          <w:sz w:val="56"/>
          <w:szCs w:val="56"/>
        </w:rPr>
        <w:t>M</w:t>
      </w:r>
      <w:r w:rsidR="00624842" w:rsidRPr="0064543B">
        <w:rPr>
          <w:rFonts w:ascii="Arial Rounded MT Bold" w:hAnsi="Arial Rounded MT Bold" w:cs="Arial"/>
          <w:bCs/>
          <w:sz w:val="56"/>
          <w:szCs w:val="56"/>
        </w:rPr>
        <w:t xml:space="preserve">ittal </w:t>
      </w:r>
      <w:r w:rsidR="00624842" w:rsidRPr="0064543B">
        <w:rPr>
          <w:rFonts w:ascii="Arial Rounded MT Bold" w:hAnsi="Arial Rounded MT Bold" w:cs="Arial"/>
          <w:b/>
          <w:color w:val="800000"/>
          <w:sz w:val="56"/>
          <w:szCs w:val="56"/>
        </w:rPr>
        <w:t>A</w:t>
      </w:r>
      <w:r w:rsidR="00624842" w:rsidRPr="0064543B">
        <w:rPr>
          <w:rFonts w:ascii="Arial Rounded MT Bold" w:hAnsi="Arial Rounded MT Bold" w:cs="Arial"/>
          <w:bCs/>
          <w:sz w:val="56"/>
          <w:szCs w:val="56"/>
        </w:rPr>
        <w:t xml:space="preserve">tlantique et </w:t>
      </w:r>
      <w:r w:rsidR="00624842" w:rsidRPr="0064543B">
        <w:rPr>
          <w:rFonts w:ascii="Arial Rounded MT Bold" w:hAnsi="Arial Rounded MT Bold" w:cs="Arial"/>
          <w:b/>
          <w:color w:val="800000"/>
          <w:sz w:val="56"/>
          <w:szCs w:val="56"/>
        </w:rPr>
        <w:t>L</w:t>
      </w:r>
      <w:r w:rsidR="00624842" w:rsidRPr="0064543B">
        <w:rPr>
          <w:rFonts w:ascii="Arial Rounded MT Bold" w:hAnsi="Arial Rounded MT Bold" w:cs="Arial"/>
          <w:bCs/>
          <w:sz w:val="56"/>
          <w:szCs w:val="56"/>
        </w:rPr>
        <w:t>orraine</w:t>
      </w:r>
    </w:p>
    <w:p w:rsidR="000353D0" w:rsidRPr="00DF5A43" w:rsidRDefault="003530AC" w:rsidP="0042031F">
      <w:pPr>
        <w:pBdr>
          <w:top w:val="threeDEngrave" w:sz="24" w:space="0" w:color="auto"/>
          <w:left w:val="threeDEngrave" w:sz="24" w:space="0" w:color="auto"/>
          <w:bottom w:val="threeDEmboss" w:sz="24" w:space="0" w:color="auto"/>
          <w:right w:val="threeDEmboss" w:sz="24" w:space="4" w:color="auto"/>
        </w:pBdr>
        <w:jc w:val="center"/>
        <w:rPr>
          <w:rFonts w:ascii="Arial Rounded MT Bold" w:hAnsi="Arial Rounded MT Bold"/>
          <w:bCs/>
          <w:sz w:val="56"/>
          <w:szCs w:val="56"/>
        </w:rPr>
      </w:pPr>
      <w:r>
        <w:rPr>
          <w:rFonts w:ascii="Arial Rounded MT Bold" w:hAnsi="Arial Rounded MT Bold"/>
          <w:sz w:val="56"/>
          <w:szCs w:val="56"/>
        </w:rPr>
        <w:t xml:space="preserve">Réunion NAO </w:t>
      </w:r>
      <w:r w:rsidR="00D3722A">
        <w:rPr>
          <w:rFonts w:ascii="Arial Rounded MT Bold" w:hAnsi="Arial Rounded MT Bold"/>
          <w:sz w:val="56"/>
          <w:szCs w:val="56"/>
        </w:rPr>
        <w:t>2017</w:t>
      </w:r>
      <w:r w:rsidR="0042031F">
        <w:rPr>
          <w:rFonts w:ascii="Arial Rounded MT Bold" w:hAnsi="Arial Rounded MT Bold"/>
          <w:sz w:val="56"/>
          <w:szCs w:val="56"/>
        </w:rPr>
        <w:t xml:space="preserve"> </w:t>
      </w:r>
      <w:r w:rsidR="00385BA5">
        <w:rPr>
          <w:rFonts w:ascii="Arial Rounded MT Bold" w:hAnsi="Arial Rounded MT Bold"/>
          <w:sz w:val="56"/>
          <w:szCs w:val="56"/>
        </w:rPr>
        <w:t>du 15</w:t>
      </w:r>
      <w:r w:rsidR="00D3722A">
        <w:rPr>
          <w:rFonts w:ascii="Arial Rounded MT Bold" w:hAnsi="Arial Rounded MT Bold"/>
          <w:sz w:val="56"/>
          <w:szCs w:val="56"/>
        </w:rPr>
        <w:t>/12/2016</w:t>
      </w:r>
    </w:p>
    <w:p w:rsidR="00E2480B" w:rsidRDefault="00E2480B" w:rsidP="0097436A">
      <w:pPr>
        <w:jc w:val="center"/>
        <w:rPr>
          <w:rFonts w:ascii="Cambria" w:hAnsi="Cambria" w:cs="Arial"/>
          <w:b/>
          <w:sz w:val="36"/>
          <w:szCs w:val="36"/>
          <w:u w:val="single"/>
        </w:rPr>
      </w:pPr>
    </w:p>
    <w:p w:rsidR="002A3C46" w:rsidRPr="001E7EAD" w:rsidRDefault="00CE1F8C" w:rsidP="00DF7B0E">
      <w:pPr>
        <w:pBdr>
          <w:top w:val="thickThinSmallGap" w:sz="24" w:space="1" w:color="auto"/>
          <w:left w:val="thickThinSmallGap" w:sz="24" w:space="4" w:color="auto"/>
          <w:bottom w:val="thinThickSmallGap" w:sz="24" w:space="1" w:color="auto"/>
          <w:right w:val="thinThickSmallGap" w:sz="24" w:space="4" w:color="auto"/>
        </w:pBdr>
        <w:jc w:val="center"/>
        <w:rPr>
          <w:rFonts w:ascii="Cambria" w:hAnsi="Cambria" w:cs="Arial"/>
          <w:b/>
          <w:sz w:val="52"/>
          <w:szCs w:val="52"/>
        </w:rPr>
      </w:pPr>
      <w:r w:rsidRPr="001E7EAD">
        <w:rPr>
          <w:rFonts w:ascii="Cambria" w:hAnsi="Cambria" w:cs="Arial"/>
          <w:b/>
          <w:sz w:val="52"/>
          <w:szCs w:val="52"/>
        </w:rPr>
        <w:t>LE COMPTE N’Y EST PAS, LA DIRECTION DOIT REVOIR SA COPIE.</w:t>
      </w:r>
    </w:p>
    <w:p w:rsidR="00CE665E" w:rsidRPr="001E7EAD" w:rsidRDefault="00CE665E" w:rsidP="00FA46A0">
      <w:pPr>
        <w:jc w:val="both"/>
        <w:rPr>
          <w:rFonts w:ascii="Cambria" w:hAnsi="Cambria" w:cs="Arial"/>
          <w:sz w:val="52"/>
          <w:szCs w:val="52"/>
        </w:rPr>
        <w:sectPr w:rsidR="00CE665E" w:rsidRPr="001E7EAD" w:rsidSect="00D93438">
          <w:footerReference w:type="default" r:id="rId10"/>
          <w:type w:val="continuous"/>
          <w:pgSz w:w="11906" w:h="16838"/>
          <w:pgMar w:top="567" w:right="282" w:bottom="568" w:left="426" w:header="709" w:footer="0" w:gutter="0"/>
          <w:cols w:space="708"/>
          <w:docGrid w:linePitch="360"/>
        </w:sectPr>
      </w:pPr>
    </w:p>
    <w:p w:rsidR="00A13B78" w:rsidRPr="00C40169" w:rsidRDefault="00A13B78" w:rsidP="00FA46A0">
      <w:pPr>
        <w:jc w:val="both"/>
        <w:rPr>
          <w:rFonts w:ascii="Cambria" w:hAnsi="Cambria" w:cs="Arial"/>
          <w:sz w:val="28"/>
          <w:szCs w:val="28"/>
        </w:rPr>
        <w:sectPr w:rsidR="00A13B78" w:rsidRPr="00C40169" w:rsidSect="00A73A18">
          <w:type w:val="continuous"/>
          <w:pgSz w:w="11906" w:h="16838"/>
          <w:pgMar w:top="567" w:right="282" w:bottom="568" w:left="426" w:header="709" w:footer="709" w:gutter="0"/>
          <w:cols w:space="708"/>
          <w:docGrid w:linePitch="360"/>
        </w:sectPr>
      </w:pPr>
    </w:p>
    <w:p w:rsidR="009A194F" w:rsidRPr="001E7EAD" w:rsidRDefault="008E70BF" w:rsidP="009A194F">
      <w:pPr>
        <w:jc w:val="both"/>
        <w:rPr>
          <w:rFonts w:ascii="Cambria" w:hAnsi="Cambria" w:cs="Arial"/>
        </w:rPr>
      </w:pPr>
      <w:r w:rsidRPr="001E7EAD">
        <w:rPr>
          <w:rFonts w:ascii="Cambria" w:hAnsi="Cambria" w:cs="Arial"/>
          <w:noProof/>
          <w:lang w:eastAsia="fr-FR"/>
        </w:rPr>
        <w:drawing>
          <wp:anchor distT="0" distB="0" distL="114300" distR="114300" simplePos="0" relativeHeight="251655680" behindDoc="0" locked="0" layoutInCell="1" allowOverlap="1">
            <wp:simplePos x="0" y="0"/>
            <wp:positionH relativeFrom="column">
              <wp:posOffset>5511165</wp:posOffset>
            </wp:positionH>
            <wp:positionV relativeFrom="paragraph">
              <wp:posOffset>173355</wp:posOffset>
            </wp:positionV>
            <wp:extent cx="1550670" cy="1009650"/>
            <wp:effectExtent l="0" t="0" r="0" b="0"/>
            <wp:wrapThrough wrapText="bothSides">
              <wp:wrapPolygon edited="0">
                <wp:start x="0" y="0"/>
                <wp:lineTo x="0" y="21192"/>
                <wp:lineTo x="21229" y="21192"/>
                <wp:lineTo x="21229"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s6O8VZ1E0.jpg"/>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50670" cy="1009650"/>
                    </a:xfrm>
                    <a:prstGeom prst="rect">
                      <a:avLst/>
                    </a:prstGeom>
                  </pic:spPr>
                </pic:pic>
              </a:graphicData>
            </a:graphic>
          </wp:anchor>
        </w:drawing>
      </w:r>
      <w:r w:rsidR="002A031C" w:rsidRPr="001E7EAD">
        <w:rPr>
          <w:rFonts w:ascii="Cambria" w:hAnsi="Cambria" w:cs="Arial"/>
        </w:rPr>
        <w:t>Dè</w:t>
      </w:r>
      <w:r w:rsidR="00385BA5" w:rsidRPr="001E7EAD">
        <w:rPr>
          <w:rFonts w:ascii="Cambria" w:hAnsi="Cambria" w:cs="Arial"/>
        </w:rPr>
        <w:t>s l’annonce des propositions de la direction sur les salaires pour 2017, des salariés de plusieurs établissements se sont  engagés dans l’action</w:t>
      </w:r>
      <w:r w:rsidR="009A194F" w:rsidRPr="001E7EAD">
        <w:rPr>
          <w:rFonts w:ascii="Cambria" w:hAnsi="Cambria" w:cs="Arial"/>
        </w:rPr>
        <w:t xml:space="preserve"> par des </w:t>
      </w:r>
      <w:r w:rsidR="00C559C3" w:rsidRPr="001E7EAD">
        <w:rPr>
          <w:rFonts w:ascii="Cambria" w:hAnsi="Cambria" w:cs="Arial"/>
        </w:rPr>
        <w:t>grèves soutenues</w:t>
      </w:r>
      <w:r w:rsidR="00385BA5" w:rsidRPr="001E7EAD">
        <w:rPr>
          <w:rFonts w:ascii="Cambria" w:hAnsi="Cambria" w:cs="Arial"/>
        </w:rPr>
        <w:t xml:space="preserve"> par la CGT.</w:t>
      </w:r>
      <w:r w:rsidR="00B11488" w:rsidRPr="001E7EAD">
        <w:rPr>
          <w:rFonts w:ascii="Cambria" w:hAnsi="Cambria" w:cs="Arial"/>
        </w:rPr>
        <w:t xml:space="preserve"> </w:t>
      </w:r>
      <w:r w:rsidR="00385BA5" w:rsidRPr="001E7EAD">
        <w:rPr>
          <w:rFonts w:ascii="Cambria" w:hAnsi="Cambria" w:cs="Arial"/>
        </w:rPr>
        <w:t xml:space="preserve">Alors que les résultats d’Amal se sont fortement améliorés, les salariés refusent </w:t>
      </w:r>
      <w:r w:rsidR="00B11488" w:rsidRPr="001E7EAD">
        <w:rPr>
          <w:rFonts w:ascii="Cambria" w:hAnsi="Cambria" w:cs="Arial"/>
        </w:rPr>
        <w:t xml:space="preserve"> par leurs actions</w:t>
      </w:r>
      <w:r w:rsidR="00385BA5" w:rsidRPr="001E7EAD">
        <w:rPr>
          <w:rFonts w:ascii="Cambria" w:hAnsi="Cambria" w:cs="Arial"/>
        </w:rPr>
        <w:t xml:space="preserve"> de subir </w:t>
      </w:r>
      <w:r w:rsidR="00B11488" w:rsidRPr="001E7EAD">
        <w:rPr>
          <w:rFonts w:ascii="Cambria" w:hAnsi="Cambria" w:cs="Arial"/>
        </w:rPr>
        <w:t xml:space="preserve"> en 2017  une nouvelle année </w:t>
      </w:r>
      <w:r w:rsidR="00B413DA" w:rsidRPr="001E7EAD">
        <w:rPr>
          <w:rFonts w:ascii="Cambria" w:hAnsi="Cambria" w:cs="Arial"/>
        </w:rPr>
        <w:t>d</w:t>
      </w:r>
      <w:r w:rsidR="00385BA5" w:rsidRPr="001E7EAD">
        <w:rPr>
          <w:rFonts w:ascii="Cambria" w:hAnsi="Cambria" w:cs="Arial"/>
        </w:rPr>
        <w:t>’austérité</w:t>
      </w:r>
      <w:r w:rsidR="00B413DA" w:rsidRPr="001E7EAD">
        <w:rPr>
          <w:rFonts w:ascii="Cambria" w:hAnsi="Cambria" w:cs="Arial"/>
        </w:rPr>
        <w:t xml:space="preserve"> salariale</w:t>
      </w:r>
      <w:r w:rsidR="00B11488" w:rsidRPr="001E7EAD">
        <w:rPr>
          <w:rFonts w:ascii="Cambria" w:hAnsi="Cambria" w:cs="Arial"/>
        </w:rPr>
        <w:t>.</w:t>
      </w:r>
      <w:r w:rsidR="009A194F" w:rsidRPr="001E7EAD">
        <w:rPr>
          <w:rFonts w:ascii="Cambria" w:hAnsi="Cambria" w:cs="Arial"/>
        </w:rPr>
        <w:t xml:space="preserve"> Face à ses actions, la direction a préféré répondre par des menaces et du chantage plutôt </w:t>
      </w:r>
      <w:r w:rsidR="00B413DA" w:rsidRPr="001E7EAD">
        <w:rPr>
          <w:rFonts w:ascii="Cambria" w:hAnsi="Cambria" w:cs="Arial"/>
        </w:rPr>
        <w:t xml:space="preserve"> que </w:t>
      </w:r>
      <w:r w:rsidR="009A194F" w:rsidRPr="001E7EAD">
        <w:rPr>
          <w:rFonts w:ascii="Cambria" w:hAnsi="Cambria" w:cs="Arial"/>
        </w:rPr>
        <w:t>par le dialogue.</w:t>
      </w:r>
    </w:p>
    <w:p w:rsidR="00B11488" w:rsidRDefault="00B11488" w:rsidP="00FA46A0">
      <w:pPr>
        <w:jc w:val="both"/>
        <w:rPr>
          <w:rFonts w:ascii="Cambria" w:hAnsi="Cambria" w:cs="Arial"/>
          <w:sz w:val="32"/>
          <w:szCs w:val="32"/>
        </w:rPr>
      </w:pPr>
    </w:p>
    <w:p w:rsidR="00385BA5" w:rsidRDefault="00B11488" w:rsidP="00771A7C">
      <w:pPr>
        <w:jc w:val="center"/>
        <w:rPr>
          <w:rFonts w:ascii="Cambria" w:hAnsi="Cambria" w:cs="Arial"/>
          <w:b/>
          <w:sz w:val="44"/>
          <w:szCs w:val="44"/>
          <w:u w:val="single"/>
        </w:rPr>
      </w:pPr>
      <w:r w:rsidRPr="00771A7C">
        <w:rPr>
          <w:rFonts w:ascii="Cambria" w:hAnsi="Cambria" w:cs="Arial"/>
          <w:b/>
          <w:sz w:val="44"/>
          <w:szCs w:val="44"/>
          <w:u w:val="single"/>
        </w:rPr>
        <w:t>La direction propose pour 2017, les miettes pour les salariés</w:t>
      </w:r>
      <w:r w:rsidR="00B413DA">
        <w:rPr>
          <w:rFonts w:ascii="Cambria" w:hAnsi="Cambria" w:cs="Arial"/>
          <w:b/>
          <w:sz w:val="44"/>
          <w:szCs w:val="44"/>
          <w:u w:val="single"/>
        </w:rPr>
        <w:t>,</w:t>
      </w:r>
      <w:r w:rsidRPr="00771A7C">
        <w:rPr>
          <w:rFonts w:ascii="Cambria" w:hAnsi="Cambria" w:cs="Arial"/>
          <w:b/>
          <w:sz w:val="44"/>
          <w:szCs w:val="44"/>
          <w:u w:val="single"/>
        </w:rPr>
        <w:t xml:space="preserve"> les profits pour les actionnaires.</w:t>
      </w:r>
    </w:p>
    <w:p w:rsidR="008E70BF" w:rsidRPr="00771A7C" w:rsidRDefault="008E70BF" w:rsidP="00771A7C">
      <w:pPr>
        <w:jc w:val="center"/>
        <w:rPr>
          <w:rFonts w:ascii="Cambria" w:hAnsi="Cambria" w:cs="Arial"/>
          <w:b/>
          <w:sz w:val="44"/>
          <w:szCs w:val="44"/>
          <w:u w:val="single"/>
        </w:rPr>
      </w:pPr>
      <w:r>
        <w:rPr>
          <w:rFonts w:ascii="Cambria" w:hAnsi="Cambria" w:cs="Arial"/>
          <w:noProof/>
          <w:sz w:val="28"/>
          <w:szCs w:val="28"/>
          <w:lang w:eastAsia="fr-FR"/>
        </w:rPr>
        <w:drawing>
          <wp:anchor distT="0" distB="0" distL="114300" distR="114300" simplePos="0" relativeHeight="251656704" behindDoc="0" locked="0" layoutInCell="1" allowOverlap="1">
            <wp:simplePos x="0" y="0"/>
            <wp:positionH relativeFrom="column">
              <wp:posOffset>-4445</wp:posOffset>
            </wp:positionH>
            <wp:positionV relativeFrom="paragraph">
              <wp:posOffset>202565</wp:posOffset>
            </wp:positionV>
            <wp:extent cx="1343025" cy="1847215"/>
            <wp:effectExtent l="0" t="0" r="0" b="0"/>
            <wp:wrapThrough wrapText="bothSides">
              <wp:wrapPolygon edited="0">
                <wp:start x="0" y="0"/>
                <wp:lineTo x="0" y="21385"/>
                <wp:lineTo x="21447" y="21385"/>
                <wp:lineTo x="21447"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CAZUQTEQ.jpg"/>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43025" cy="1847215"/>
                    </a:xfrm>
                    <a:prstGeom prst="rect">
                      <a:avLst/>
                    </a:prstGeom>
                  </pic:spPr>
                </pic:pic>
              </a:graphicData>
            </a:graphic>
          </wp:anchor>
        </w:drawing>
      </w:r>
    </w:p>
    <w:p w:rsidR="00B11488" w:rsidRPr="001E7EAD" w:rsidRDefault="00B11488" w:rsidP="00FA46A0">
      <w:pPr>
        <w:jc w:val="both"/>
        <w:rPr>
          <w:rFonts w:ascii="Cambria" w:hAnsi="Cambria" w:cs="Arial"/>
        </w:rPr>
      </w:pPr>
      <w:r w:rsidRPr="001E7EAD">
        <w:rPr>
          <w:rFonts w:ascii="Cambria" w:hAnsi="Cambria" w:cs="Arial"/>
        </w:rPr>
        <w:t>Alors  que tout au long des  trois premières réunions</w:t>
      </w:r>
      <w:r w:rsidR="009A194F" w:rsidRPr="001E7EAD">
        <w:rPr>
          <w:rFonts w:ascii="Cambria" w:hAnsi="Cambria" w:cs="Arial"/>
        </w:rPr>
        <w:t>,</w:t>
      </w:r>
      <w:r w:rsidRPr="001E7EAD">
        <w:rPr>
          <w:rFonts w:ascii="Cambria" w:hAnsi="Cambria" w:cs="Arial"/>
        </w:rPr>
        <w:t xml:space="preserve"> la</w:t>
      </w:r>
      <w:r w:rsidR="00BC1373" w:rsidRPr="001E7EAD">
        <w:rPr>
          <w:rFonts w:ascii="Cambria" w:hAnsi="Cambria" w:cs="Arial"/>
        </w:rPr>
        <w:t xml:space="preserve"> direction </w:t>
      </w:r>
      <w:r w:rsidRPr="001E7EAD">
        <w:rPr>
          <w:rFonts w:ascii="Cambria" w:hAnsi="Cambria" w:cs="Arial"/>
        </w:rPr>
        <w:t xml:space="preserve">a </w:t>
      </w:r>
      <w:r w:rsidR="00C84A83" w:rsidRPr="001E7EAD">
        <w:rPr>
          <w:rFonts w:ascii="Cambria" w:hAnsi="Cambria" w:cs="Arial"/>
        </w:rPr>
        <w:t xml:space="preserve">souvent </w:t>
      </w:r>
      <w:r w:rsidRPr="001E7EAD">
        <w:rPr>
          <w:rFonts w:ascii="Cambria" w:hAnsi="Cambria" w:cs="Arial"/>
        </w:rPr>
        <w:t>parlé de dialogue.</w:t>
      </w:r>
    </w:p>
    <w:p w:rsidR="000273DD" w:rsidRPr="001E7EAD" w:rsidRDefault="00B11488" w:rsidP="00FA46A0">
      <w:pPr>
        <w:jc w:val="both"/>
        <w:rPr>
          <w:rFonts w:ascii="Cambria" w:hAnsi="Cambria" w:cs="Arial"/>
        </w:rPr>
      </w:pPr>
      <w:r w:rsidRPr="001E7EAD">
        <w:rPr>
          <w:rFonts w:ascii="Cambria" w:hAnsi="Cambria" w:cs="Arial"/>
        </w:rPr>
        <w:t>Quelle conception la direction a-t-elle du dialogue alors que ses propositions sont non seulement loin des attentes des salariés mais aussi en décalage par rapport aux propositions des Organisations Syndicales.</w:t>
      </w:r>
    </w:p>
    <w:p w:rsidR="000273DD" w:rsidRPr="001E7EAD" w:rsidRDefault="000273DD" w:rsidP="00FA46A0">
      <w:pPr>
        <w:jc w:val="both"/>
        <w:rPr>
          <w:rFonts w:ascii="Cambria" w:hAnsi="Cambria" w:cs="Arial"/>
        </w:rPr>
      </w:pPr>
      <w:r w:rsidRPr="001E7EAD">
        <w:rPr>
          <w:rFonts w:ascii="Cambria" w:hAnsi="Cambria" w:cs="Arial"/>
        </w:rPr>
        <w:t>P</w:t>
      </w:r>
      <w:r w:rsidR="002A031C" w:rsidRPr="001E7EAD">
        <w:rPr>
          <w:rFonts w:ascii="Cambria" w:hAnsi="Cambria" w:cs="Arial"/>
        </w:rPr>
        <w:t>our la CGT, la priorité doit  porter  sur d</w:t>
      </w:r>
      <w:r w:rsidR="00C559C3" w:rsidRPr="001E7EAD">
        <w:rPr>
          <w:rFonts w:ascii="Cambria" w:hAnsi="Cambria" w:cs="Arial"/>
        </w:rPr>
        <w:t>es Augmentations G</w:t>
      </w:r>
      <w:r w:rsidRPr="001E7EAD">
        <w:rPr>
          <w:rFonts w:ascii="Cambria" w:hAnsi="Cambria" w:cs="Arial"/>
        </w:rPr>
        <w:t>énérales</w:t>
      </w:r>
      <w:r w:rsidR="002A031C" w:rsidRPr="001E7EAD">
        <w:rPr>
          <w:rFonts w:ascii="Cambria" w:hAnsi="Cambria" w:cs="Arial"/>
        </w:rPr>
        <w:t xml:space="preserve"> conséquentes </w:t>
      </w:r>
      <w:r w:rsidR="00C84A83" w:rsidRPr="001E7EAD">
        <w:rPr>
          <w:rFonts w:ascii="Cambria" w:hAnsi="Cambria" w:cs="Arial"/>
        </w:rPr>
        <w:t xml:space="preserve"> </w:t>
      </w:r>
      <w:r w:rsidR="00114544" w:rsidRPr="001E7EAD">
        <w:rPr>
          <w:rFonts w:ascii="Cambria" w:hAnsi="Cambria" w:cs="Arial"/>
        </w:rPr>
        <w:t xml:space="preserve">pour l’ensemble des salariés y compris les </w:t>
      </w:r>
      <w:r w:rsidR="00C559C3" w:rsidRPr="001E7EAD">
        <w:rPr>
          <w:rFonts w:ascii="Cambria" w:hAnsi="Cambria" w:cs="Arial"/>
        </w:rPr>
        <w:t xml:space="preserve">Ingénieurs et Cadres. </w:t>
      </w:r>
      <w:r w:rsidR="00C84A83" w:rsidRPr="001E7EAD">
        <w:rPr>
          <w:rFonts w:ascii="Cambria" w:hAnsi="Cambria" w:cs="Arial"/>
        </w:rPr>
        <w:t>Les A</w:t>
      </w:r>
      <w:r w:rsidR="00C559C3" w:rsidRPr="001E7EAD">
        <w:rPr>
          <w:rFonts w:ascii="Cambria" w:hAnsi="Cambria" w:cs="Arial"/>
        </w:rPr>
        <w:t>.</w:t>
      </w:r>
      <w:r w:rsidR="00C84A83" w:rsidRPr="001E7EAD">
        <w:rPr>
          <w:rFonts w:ascii="Cambria" w:hAnsi="Cambria" w:cs="Arial"/>
        </w:rPr>
        <w:t>G</w:t>
      </w:r>
      <w:r w:rsidRPr="001E7EAD">
        <w:rPr>
          <w:rFonts w:ascii="Cambria" w:hAnsi="Cambria" w:cs="Arial"/>
        </w:rPr>
        <w:t xml:space="preserve"> </w:t>
      </w:r>
      <w:r w:rsidR="002A031C" w:rsidRPr="001E7EAD">
        <w:rPr>
          <w:rFonts w:ascii="Cambria" w:hAnsi="Cambria" w:cs="Arial"/>
        </w:rPr>
        <w:t xml:space="preserve"> doivent donner un coup de pou</w:t>
      </w:r>
      <w:r w:rsidR="00812B0E" w:rsidRPr="001E7EAD">
        <w:rPr>
          <w:rFonts w:ascii="Cambria" w:hAnsi="Cambria" w:cs="Arial"/>
        </w:rPr>
        <w:t>ce</w:t>
      </w:r>
      <w:r w:rsidR="002A031C" w:rsidRPr="001E7EAD">
        <w:rPr>
          <w:rFonts w:ascii="Cambria" w:hAnsi="Cambria" w:cs="Arial"/>
        </w:rPr>
        <w:t xml:space="preserve"> au pouvoir d’achat. Il s’agit d’une mesure non </w:t>
      </w:r>
      <w:r w:rsidR="00114544" w:rsidRPr="001E7EAD">
        <w:rPr>
          <w:rFonts w:ascii="Cambria" w:hAnsi="Cambria" w:cs="Arial"/>
        </w:rPr>
        <w:t xml:space="preserve"> discriminatoire.</w:t>
      </w:r>
    </w:p>
    <w:p w:rsidR="002A3C46" w:rsidRDefault="002A3C46" w:rsidP="00FA46A0">
      <w:pPr>
        <w:jc w:val="both"/>
        <w:rPr>
          <w:rFonts w:ascii="Cambria" w:hAnsi="Cambria" w:cs="Arial"/>
          <w:sz w:val="28"/>
          <w:szCs w:val="28"/>
        </w:rPr>
      </w:pPr>
    </w:p>
    <w:p w:rsidR="002A3C46" w:rsidRDefault="002A3C46" w:rsidP="00FA46A0">
      <w:pPr>
        <w:jc w:val="both"/>
        <w:rPr>
          <w:rFonts w:ascii="Cambria" w:hAnsi="Cambria" w:cs="Arial"/>
          <w:sz w:val="28"/>
          <w:szCs w:val="28"/>
        </w:rPr>
      </w:pPr>
      <w:r w:rsidRPr="002A3C46">
        <w:rPr>
          <w:rFonts w:ascii="Cambria" w:hAnsi="Cambria" w:cs="Arial"/>
          <w:sz w:val="28"/>
          <w:szCs w:val="28"/>
          <w:u w:val="single"/>
        </w:rPr>
        <w:t>Ci-dessous les revendications des O.S</w:t>
      </w:r>
      <w:r>
        <w:rPr>
          <w:rFonts w:ascii="Cambria" w:hAnsi="Cambria" w:cs="Arial"/>
          <w:sz w:val="28"/>
          <w:szCs w:val="28"/>
        </w:rPr>
        <w:t xml:space="preserve"> : </w:t>
      </w:r>
    </w:p>
    <w:p w:rsidR="00595397" w:rsidRPr="00595397" w:rsidRDefault="00595397" w:rsidP="00FA46A0">
      <w:pPr>
        <w:jc w:val="both"/>
        <w:rPr>
          <w:rFonts w:ascii="Cambria" w:hAnsi="Cambria" w:cs="Arial"/>
          <w:sz w:val="28"/>
          <w:szCs w:val="28"/>
        </w:rPr>
      </w:pPr>
    </w:p>
    <w:tbl>
      <w:tblPr>
        <w:tblStyle w:val="GridTable4Accent2"/>
        <w:tblW w:w="11338" w:type="dxa"/>
        <w:tblLook w:val="04A0"/>
      </w:tblPr>
      <w:tblGrid>
        <w:gridCol w:w="2267"/>
        <w:gridCol w:w="2267"/>
        <w:gridCol w:w="2268"/>
        <w:gridCol w:w="2268"/>
        <w:gridCol w:w="2268"/>
      </w:tblGrid>
      <w:tr w:rsidR="00595397" w:rsidTr="00595397">
        <w:trPr>
          <w:cnfStyle w:val="100000000000"/>
        </w:trPr>
        <w:tc>
          <w:tcPr>
            <w:cnfStyle w:val="001000000000"/>
            <w:tcW w:w="2267" w:type="dxa"/>
            <w:vAlign w:val="center"/>
          </w:tcPr>
          <w:p w:rsidR="00595397" w:rsidRPr="001E7EAD" w:rsidRDefault="00595397" w:rsidP="00595397">
            <w:pPr>
              <w:jc w:val="center"/>
              <w:rPr>
                <w:rFonts w:ascii="Cambria" w:hAnsi="Cambria" w:cs="Arial"/>
              </w:rPr>
            </w:pPr>
            <w:r w:rsidRPr="001E7EAD">
              <w:rPr>
                <w:rFonts w:ascii="Cambria" w:hAnsi="Cambria" w:cs="Arial"/>
              </w:rPr>
              <w:t>CGT</w:t>
            </w:r>
          </w:p>
        </w:tc>
        <w:tc>
          <w:tcPr>
            <w:tcW w:w="2267" w:type="dxa"/>
            <w:vAlign w:val="center"/>
          </w:tcPr>
          <w:p w:rsidR="00595397" w:rsidRPr="001E7EAD" w:rsidRDefault="00595397" w:rsidP="00595397">
            <w:pPr>
              <w:jc w:val="center"/>
              <w:cnfStyle w:val="100000000000"/>
              <w:rPr>
                <w:rFonts w:ascii="Cambria" w:hAnsi="Cambria" w:cs="Arial"/>
              </w:rPr>
            </w:pPr>
            <w:r w:rsidRPr="001E7EAD">
              <w:rPr>
                <w:rFonts w:ascii="Cambria" w:hAnsi="Cambria" w:cs="Arial"/>
              </w:rPr>
              <w:t>FO</w:t>
            </w:r>
          </w:p>
        </w:tc>
        <w:tc>
          <w:tcPr>
            <w:tcW w:w="2268" w:type="dxa"/>
            <w:vAlign w:val="center"/>
          </w:tcPr>
          <w:p w:rsidR="00595397" w:rsidRPr="001E7EAD" w:rsidRDefault="00595397" w:rsidP="00595397">
            <w:pPr>
              <w:jc w:val="center"/>
              <w:cnfStyle w:val="100000000000"/>
              <w:rPr>
                <w:rFonts w:ascii="Cambria" w:hAnsi="Cambria" w:cs="Arial"/>
              </w:rPr>
            </w:pPr>
            <w:r w:rsidRPr="001E7EAD">
              <w:rPr>
                <w:rFonts w:ascii="Cambria" w:hAnsi="Cambria" w:cs="Arial"/>
              </w:rPr>
              <w:t>CFDT</w:t>
            </w:r>
          </w:p>
        </w:tc>
        <w:tc>
          <w:tcPr>
            <w:tcW w:w="2268" w:type="dxa"/>
            <w:vAlign w:val="center"/>
          </w:tcPr>
          <w:p w:rsidR="00595397" w:rsidRPr="001E7EAD" w:rsidRDefault="00595397" w:rsidP="00595397">
            <w:pPr>
              <w:jc w:val="center"/>
              <w:cnfStyle w:val="100000000000"/>
              <w:rPr>
                <w:rFonts w:ascii="Cambria" w:hAnsi="Cambria" w:cs="Arial"/>
              </w:rPr>
            </w:pPr>
            <w:r w:rsidRPr="001E7EAD">
              <w:rPr>
                <w:rFonts w:ascii="Cambria" w:hAnsi="Cambria" w:cs="Arial"/>
              </w:rPr>
              <w:t>Direction</w:t>
            </w:r>
          </w:p>
        </w:tc>
        <w:tc>
          <w:tcPr>
            <w:tcW w:w="2268" w:type="dxa"/>
            <w:vAlign w:val="center"/>
          </w:tcPr>
          <w:p w:rsidR="00595397" w:rsidRPr="001E7EAD" w:rsidRDefault="00595397" w:rsidP="00595397">
            <w:pPr>
              <w:jc w:val="center"/>
              <w:cnfStyle w:val="100000000000"/>
              <w:rPr>
                <w:rFonts w:ascii="Cambria" w:hAnsi="Cambria" w:cs="Arial"/>
              </w:rPr>
            </w:pPr>
            <w:r w:rsidRPr="001E7EAD">
              <w:rPr>
                <w:rFonts w:ascii="Cambria" w:hAnsi="Cambria" w:cs="Arial"/>
              </w:rPr>
              <w:t>CFE CGC</w:t>
            </w:r>
          </w:p>
        </w:tc>
      </w:tr>
      <w:tr w:rsidR="00595397" w:rsidTr="00595397">
        <w:trPr>
          <w:cnfStyle w:val="000000100000"/>
        </w:trPr>
        <w:tc>
          <w:tcPr>
            <w:cnfStyle w:val="001000000000"/>
            <w:tcW w:w="2267" w:type="dxa"/>
            <w:vAlign w:val="center"/>
          </w:tcPr>
          <w:p w:rsidR="00595397" w:rsidRPr="001E7EAD" w:rsidRDefault="00595397" w:rsidP="00595397">
            <w:pPr>
              <w:jc w:val="center"/>
              <w:rPr>
                <w:rFonts w:ascii="Cambria" w:hAnsi="Cambria" w:cs="Arial"/>
              </w:rPr>
            </w:pPr>
            <w:r w:rsidRPr="001E7EAD">
              <w:rPr>
                <w:rFonts w:ascii="Cambria" w:hAnsi="Cambria" w:cs="Arial"/>
              </w:rPr>
              <w:t>3%</w:t>
            </w:r>
          </w:p>
        </w:tc>
        <w:tc>
          <w:tcPr>
            <w:tcW w:w="2267" w:type="dxa"/>
            <w:vAlign w:val="center"/>
          </w:tcPr>
          <w:p w:rsidR="00595397" w:rsidRPr="001E7EAD" w:rsidRDefault="00595397" w:rsidP="00595397">
            <w:pPr>
              <w:jc w:val="center"/>
              <w:cnfStyle w:val="000000100000"/>
              <w:rPr>
                <w:rFonts w:ascii="Cambria" w:hAnsi="Cambria" w:cs="Arial"/>
                <w:b/>
              </w:rPr>
            </w:pPr>
            <w:r w:rsidRPr="001E7EAD">
              <w:rPr>
                <w:rFonts w:ascii="Cambria" w:hAnsi="Cambria" w:cs="Arial"/>
                <w:b/>
              </w:rPr>
              <w:t>3%</w:t>
            </w:r>
          </w:p>
        </w:tc>
        <w:tc>
          <w:tcPr>
            <w:tcW w:w="2268" w:type="dxa"/>
            <w:vAlign w:val="center"/>
          </w:tcPr>
          <w:p w:rsidR="00595397" w:rsidRPr="001E7EAD" w:rsidRDefault="00595397" w:rsidP="00595397">
            <w:pPr>
              <w:jc w:val="center"/>
              <w:cnfStyle w:val="000000100000"/>
              <w:rPr>
                <w:rFonts w:ascii="Cambria" w:hAnsi="Cambria" w:cs="Arial"/>
                <w:b/>
              </w:rPr>
            </w:pPr>
            <w:r w:rsidRPr="001E7EAD">
              <w:rPr>
                <w:rFonts w:ascii="Cambria" w:hAnsi="Cambria" w:cs="Arial"/>
                <w:b/>
              </w:rPr>
              <w:t>2%</w:t>
            </w:r>
          </w:p>
        </w:tc>
        <w:tc>
          <w:tcPr>
            <w:tcW w:w="2268" w:type="dxa"/>
            <w:vAlign w:val="center"/>
          </w:tcPr>
          <w:p w:rsidR="00595397" w:rsidRPr="001E7EAD" w:rsidRDefault="00595397" w:rsidP="00595397">
            <w:pPr>
              <w:jc w:val="center"/>
              <w:cnfStyle w:val="000000100000"/>
              <w:rPr>
                <w:rFonts w:ascii="Cambria" w:hAnsi="Cambria" w:cs="Arial"/>
                <w:b/>
              </w:rPr>
            </w:pPr>
            <w:r w:rsidRPr="001E7EAD">
              <w:rPr>
                <w:rFonts w:ascii="Cambria" w:hAnsi="Cambria" w:cs="Arial"/>
                <w:b/>
              </w:rPr>
              <w:t xml:space="preserve">0,2% </w:t>
            </w:r>
          </w:p>
          <w:p w:rsidR="00595397" w:rsidRPr="001E7EAD" w:rsidRDefault="00595397" w:rsidP="00595397">
            <w:pPr>
              <w:jc w:val="center"/>
              <w:cnfStyle w:val="000000100000"/>
              <w:rPr>
                <w:rFonts w:ascii="Cambria" w:hAnsi="Cambria" w:cs="Arial"/>
                <w:b/>
              </w:rPr>
            </w:pPr>
            <w:r w:rsidRPr="001E7EAD">
              <w:rPr>
                <w:rFonts w:ascii="Cambria" w:hAnsi="Cambria" w:cs="Arial"/>
                <w:b/>
              </w:rPr>
              <w:t xml:space="preserve">au 1 juillet </w:t>
            </w:r>
          </w:p>
          <w:p w:rsidR="00595397" w:rsidRPr="001E7EAD" w:rsidRDefault="00595397" w:rsidP="00595397">
            <w:pPr>
              <w:jc w:val="center"/>
              <w:cnfStyle w:val="000000100000"/>
              <w:rPr>
                <w:rFonts w:ascii="Cambria" w:hAnsi="Cambria" w:cs="Arial"/>
                <w:b/>
              </w:rPr>
            </w:pPr>
            <w:r w:rsidRPr="001E7EAD">
              <w:rPr>
                <w:rFonts w:ascii="Cambria" w:hAnsi="Cambria" w:cs="Arial"/>
                <w:b/>
              </w:rPr>
              <w:t>si signature</w:t>
            </w:r>
          </w:p>
        </w:tc>
        <w:tc>
          <w:tcPr>
            <w:tcW w:w="2268" w:type="dxa"/>
            <w:vAlign w:val="center"/>
          </w:tcPr>
          <w:p w:rsidR="00595397" w:rsidRPr="001E7EAD" w:rsidRDefault="00595397" w:rsidP="00595397">
            <w:pPr>
              <w:jc w:val="center"/>
              <w:cnfStyle w:val="000000100000"/>
              <w:rPr>
                <w:rFonts w:ascii="Cambria" w:hAnsi="Cambria" w:cs="Arial"/>
                <w:b/>
              </w:rPr>
            </w:pPr>
            <w:r w:rsidRPr="001E7EAD">
              <w:rPr>
                <w:rFonts w:ascii="Cambria" w:hAnsi="Cambria" w:cs="Arial"/>
                <w:b/>
              </w:rPr>
              <w:t>pas de proposition</w:t>
            </w:r>
          </w:p>
        </w:tc>
      </w:tr>
    </w:tbl>
    <w:p w:rsidR="00FE75EE" w:rsidRPr="00206D1B" w:rsidRDefault="003B5C04" w:rsidP="00777409">
      <w:pPr>
        <w:spacing w:after="240"/>
        <w:jc w:val="center"/>
        <w:rPr>
          <w:rFonts w:ascii="Cambria" w:hAnsi="Cambria" w:cs="Arial"/>
          <w:b/>
          <w:sz w:val="44"/>
          <w:szCs w:val="44"/>
          <w:u w:val="single"/>
        </w:rPr>
      </w:pPr>
      <w:r>
        <w:rPr>
          <w:rFonts w:ascii="Cambria" w:hAnsi="Cambria" w:cs="Arial"/>
          <w:noProof/>
          <w:lang w:eastAsia="fr-FR"/>
        </w:rPr>
        <w:drawing>
          <wp:anchor distT="0" distB="0" distL="114300" distR="114300" simplePos="0" relativeHeight="251658752" behindDoc="0" locked="0" layoutInCell="1" allowOverlap="1">
            <wp:simplePos x="0" y="0"/>
            <wp:positionH relativeFrom="column">
              <wp:posOffset>43815</wp:posOffset>
            </wp:positionH>
            <wp:positionV relativeFrom="paragraph">
              <wp:posOffset>377190</wp:posOffset>
            </wp:positionV>
            <wp:extent cx="628650" cy="628650"/>
            <wp:effectExtent l="0" t="0" r="0" b="0"/>
            <wp:wrapThrough wrapText="bothSides">
              <wp:wrapPolygon edited="0">
                <wp:start x="0" y="0"/>
                <wp:lineTo x="0" y="20945"/>
                <wp:lineTo x="20945" y="20945"/>
                <wp:lineTo x="20945" y="0"/>
                <wp:lineTo x="0" y="0"/>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ttention.png"/>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28650" cy="628650"/>
                    </a:xfrm>
                    <a:prstGeom prst="rect">
                      <a:avLst/>
                    </a:prstGeom>
                  </pic:spPr>
                </pic:pic>
              </a:graphicData>
            </a:graphic>
          </wp:anchor>
        </w:drawing>
      </w:r>
      <w:r w:rsidR="00BC1373" w:rsidRPr="00206D1B">
        <w:rPr>
          <w:rFonts w:ascii="Cambria" w:hAnsi="Cambria" w:cs="Arial"/>
          <w:b/>
          <w:sz w:val="44"/>
          <w:szCs w:val="44"/>
          <w:u w:val="single"/>
        </w:rPr>
        <w:t>La direct</w:t>
      </w:r>
      <w:r w:rsidR="009A194F" w:rsidRPr="00206D1B">
        <w:rPr>
          <w:rFonts w:ascii="Cambria" w:hAnsi="Cambria" w:cs="Arial"/>
          <w:b/>
          <w:sz w:val="44"/>
          <w:szCs w:val="44"/>
          <w:u w:val="single"/>
        </w:rPr>
        <w:t xml:space="preserve">ion nous écoute mais </w:t>
      </w:r>
      <w:r w:rsidR="00775317">
        <w:rPr>
          <w:rFonts w:ascii="Cambria" w:hAnsi="Cambria" w:cs="Arial"/>
          <w:b/>
          <w:sz w:val="44"/>
          <w:szCs w:val="44"/>
          <w:u w:val="single"/>
        </w:rPr>
        <w:t xml:space="preserve">ne </w:t>
      </w:r>
      <w:r w:rsidR="009A194F" w:rsidRPr="00206D1B">
        <w:rPr>
          <w:rFonts w:ascii="Cambria" w:hAnsi="Cambria" w:cs="Arial"/>
          <w:b/>
          <w:sz w:val="44"/>
          <w:szCs w:val="44"/>
          <w:u w:val="single"/>
        </w:rPr>
        <w:t xml:space="preserve">nous entend </w:t>
      </w:r>
      <w:r w:rsidR="00BC1373" w:rsidRPr="00206D1B">
        <w:rPr>
          <w:rFonts w:ascii="Cambria" w:hAnsi="Cambria" w:cs="Arial"/>
          <w:b/>
          <w:sz w:val="44"/>
          <w:szCs w:val="44"/>
          <w:u w:val="single"/>
        </w:rPr>
        <w:t xml:space="preserve"> pas</w:t>
      </w:r>
      <w:r w:rsidR="00775317">
        <w:rPr>
          <w:rFonts w:ascii="Cambria" w:hAnsi="Cambria" w:cs="Arial"/>
          <w:b/>
          <w:sz w:val="44"/>
          <w:szCs w:val="44"/>
          <w:u w:val="single"/>
        </w:rPr>
        <w:t> !</w:t>
      </w:r>
    </w:p>
    <w:p w:rsidR="00835A16" w:rsidRPr="00206D1B" w:rsidRDefault="007E55E5" w:rsidP="00206D1B">
      <w:pPr>
        <w:pBdr>
          <w:top w:val="single" w:sz="4" w:space="1" w:color="auto"/>
          <w:left w:val="single" w:sz="4" w:space="4" w:color="auto"/>
          <w:bottom w:val="single" w:sz="4" w:space="1" w:color="auto"/>
          <w:right w:val="single" w:sz="4" w:space="4" w:color="auto"/>
        </w:pBdr>
        <w:shd w:val="clear" w:color="auto" w:fill="E5DFEC" w:themeFill="accent4" w:themeFillTint="33"/>
        <w:jc w:val="center"/>
        <w:rPr>
          <w:rFonts w:ascii="Cambria" w:hAnsi="Cambria" w:cs="Arial"/>
        </w:rPr>
      </w:pPr>
      <w:r w:rsidRPr="00206D1B">
        <w:rPr>
          <w:rFonts w:ascii="Cambria" w:hAnsi="Cambria" w:cs="Arial"/>
        </w:rPr>
        <w:t>Pour mieux faire accepter un accord au rabais</w:t>
      </w:r>
      <w:r w:rsidR="00713A71" w:rsidRPr="00206D1B">
        <w:rPr>
          <w:rFonts w:ascii="Cambria" w:hAnsi="Cambria" w:cs="Arial"/>
        </w:rPr>
        <w:t>,</w:t>
      </w:r>
      <w:r w:rsidRPr="00206D1B">
        <w:rPr>
          <w:rFonts w:ascii="Cambria" w:hAnsi="Cambria" w:cs="Arial"/>
        </w:rPr>
        <w:t xml:space="preserve"> la direction a proposé d’</w:t>
      </w:r>
      <w:r w:rsidR="00713A71" w:rsidRPr="00206D1B">
        <w:rPr>
          <w:rFonts w:ascii="Cambria" w:hAnsi="Cambria" w:cs="Arial"/>
        </w:rPr>
        <w:t xml:space="preserve">ouvrir </w:t>
      </w:r>
      <w:r w:rsidRPr="00206D1B">
        <w:rPr>
          <w:rFonts w:ascii="Cambria" w:hAnsi="Cambria" w:cs="Arial"/>
        </w:rPr>
        <w:t xml:space="preserve"> au cour</w:t>
      </w:r>
      <w:r w:rsidR="00713A71" w:rsidRPr="00206D1B">
        <w:rPr>
          <w:rFonts w:ascii="Cambria" w:hAnsi="Cambria" w:cs="Arial"/>
        </w:rPr>
        <w:t>s</w:t>
      </w:r>
      <w:r w:rsidRPr="00206D1B">
        <w:rPr>
          <w:rFonts w:ascii="Cambria" w:hAnsi="Cambria" w:cs="Arial"/>
        </w:rPr>
        <w:t xml:space="preserve"> du premier </w:t>
      </w:r>
      <w:r w:rsidR="00884309">
        <w:rPr>
          <w:rFonts w:ascii="Cambria" w:hAnsi="Cambria" w:cs="Arial"/>
        </w:rPr>
        <w:t>trimestre</w:t>
      </w:r>
      <w:r w:rsidRPr="00206D1B">
        <w:rPr>
          <w:rFonts w:ascii="Cambria" w:hAnsi="Cambria" w:cs="Arial"/>
        </w:rPr>
        <w:t xml:space="preserve"> 2017</w:t>
      </w:r>
      <w:r w:rsidR="00B413DA" w:rsidRPr="00206D1B">
        <w:rPr>
          <w:rFonts w:ascii="Cambria" w:hAnsi="Cambria" w:cs="Arial"/>
        </w:rPr>
        <w:t>,</w:t>
      </w:r>
      <w:r w:rsidRPr="00206D1B">
        <w:rPr>
          <w:rFonts w:ascii="Cambria" w:hAnsi="Cambria" w:cs="Arial"/>
        </w:rPr>
        <w:t xml:space="preserve"> une négociation en vu</w:t>
      </w:r>
      <w:r w:rsidR="00713A71" w:rsidRPr="00206D1B">
        <w:rPr>
          <w:rFonts w:ascii="Cambria" w:hAnsi="Cambria" w:cs="Arial"/>
        </w:rPr>
        <w:t>e</w:t>
      </w:r>
      <w:r w:rsidRPr="00206D1B">
        <w:rPr>
          <w:rFonts w:ascii="Cambria" w:hAnsi="Cambria" w:cs="Arial"/>
        </w:rPr>
        <w:t xml:space="preserve"> d’un accord d’harmonisation au sein d’Amal sur les différents éléments de rémunération liés directement ou indirectement à l’activité.</w:t>
      </w:r>
      <w:r w:rsidR="00206D1B">
        <w:rPr>
          <w:rFonts w:ascii="Cambria" w:hAnsi="Cambria" w:cs="Arial"/>
        </w:rPr>
        <w:t xml:space="preserve"> Le premier sujet traité sera l’harmonisation des primes du type « pénibilité », « conditions particulières de travail »…au sein d’un système unique de primes « contraintes spécifiques de travail » au sein de l’article 10 de l’accord de prévention de la pénibilité du 30/06/2016 avec effet rétroactif au 01/01/2017.</w:t>
      </w:r>
      <w:r w:rsidR="00835A16">
        <w:rPr>
          <w:rFonts w:ascii="Cambria" w:hAnsi="Cambria" w:cs="Arial"/>
        </w:rPr>
        <w:t xml:space="preserve"> </w:t>
      </w:r>
    </w:p>
    <w:p w:rsidR="00D93438" w:rsidRPr="00FE75EE" w:rsidRDefault="00BC1373" w:rsidP="00FE75EE">
      <w:pPr>
        <w:jc w:val="both"/>
        <w:rPr>
          <w:rFonts w:ascii="Cambria" w:hAnsi="Cambria" w:cs="Arial"/>
          <w:b/>
          <w:sz w:val="28"/>
          <w:szCs w:val="28"/>
        </w:rPr>
        <w:sectPr w:rsidR="00D93438" w:rsidRPr="00FE75EE" w:rsidSect="00AD7319">
          <w:type w:val="continuous"/>
          <w:pgSz w:w="11906" w:h="16838"/>
          <w:pgMar w:top="426" w:right="282" w:bottom="568" w:left="426" w:header="709" w:footer="0" w:gutter="0"/>
          <w:cols w:space="708"/>
          <w:docGrid w:linePitch="360"/>
        </w:sectPr>
      </w:pPr>
      <w:r>
        <w:rPr>
          <w:rFonts w:ascii="Cambria" w:hAnsi="Cambria" w:cs="Arial"/>
          <w:sz w:val="32"/>
          <w:szCs w:val="32"/>
        </w:rPr>
        <w:t xml:space="preserve">  </w:t>
      </w:r>
    </w:p>
    <w:p w:rsidR="00777409" w:rsidRDefault="00777409" w:rsidP="008E70BF">
      <w:pPr>
        <w:jc w:val="center"/>
        <w:rPr>
          <w:rFonts w:ascii="Cambria" w:hAnsi="Cambria" w:cs="Arial"/>
          <w:b/>
          <w:sz w:val="28"/>
          <w:szCs w:val="28"/>
        </w:rPr>
      </w:pPr>
    </w:p>
    <w:p w:rsidR="005B4296" w:rsidRDefault="00A73A18" w:rsidP="008E70BF">
      <w:pPr>
        <w:jc w:val="center"/>
        <w:rPr>
          <w:rFonts w:ascii="Cambria" w:hAnsi="Cambria" w:cs="Arial"/>
          <w:b/>
          <w:sz w:val="28"/>
          <w:szCs w:val="28"/>
        </w:rPr>
      </w:pPr>
      <w:r w:rsidRPr="008E70BF">
        <w:rPr>
          <w:rFonts w:ascii="Cambria" w:hAnsi="Cambria" w:cs="Arial"/>
          <w:b/>
          <w:sz w:val="28"/>
          <w:szCs w:val="28"/>
        </w:rPr>
        <w:t>L</w:t>
      </w:r>
      <w:r w:rsidR="00521D86" w:rsidRPr="008E70BF">
        <w:rPr>
          <w:rFonts w:ascii="Cambria" w:hAnsi="Cambria" w:cs="Arial"/>
          <w:b/>
          <w:sz w:val="28"/>
          <w:szCs w:val="28"/>
        </w:rPr>
        <w:t>a direction</w:t>
      </w:r>
      <w:r w:rsidR="00222870" w:rsidRPr="008E70BF">
        <w:rPr>
          <w:rFonts w:ascii="Cambria" w:hAnsi="Cambria" w:cs="Arial"/>
          <w:b/>
          <w:sz w:val="28"/>
          <w:szCs w:val="28"/>
        </w:rPr>
        <w:t xml:space="preserve"> a dévoilé</w:t>
      </w:r>
      <w:r w:rsidR="00521D86" w:rsidRPr="008E70BF">
        <w:rPr>
          <w:rFonts w:ascii="Cambria" w:hAnsi="Cambria" w:cs="Arial"/>
          <w:b/>
          <w:sz w:val="28"/>
          <w:szCs w:val="28"/>
        </w:rPr>
        <w:t xml:space="preserve"> </w:t>
      </w:r>
      <w:r w:rsidR="008C06DA" w:rsidRPr="008E70BF">
        <w:rPr>
          <w:rFonts w:ascii="Cambria" w:hAnsi="Cambria" w:cs="Arial"/>
          <w:b/>
          <w:sz w:val="28"/>
          <w:szCs w:val="28"/>
        </w:rPr>
        <w:t>ses</w:t>
      </w:r>
      <w:r w:rsidR="001D1B77" w:rsidRPr="008E70BF">
        <w:rPr>
          <w:rFonts w:ascii="Cambria" w:hAnsi="Cambria" w:cs="Arial"/>
          <w:b/>
          <w:sz w:val="28"/>
          <w:szCs w:val="28"/>
        </w:rPr>
        <w:t xml:space="preserve"> nouvelles </w:t>
      </w:r>
      <w:r w:rsidR="00521D86" w:rsidRPr="008E70BF">
        <w:rPr>
          <w:rFonts w:ascii="Cambria" w:hAnsi="Cambria" w:cs="Arial"/>
          <w:b/>
          <w:sz w:val="28"/>
          <w:szCs w:val="28"/>
        </w:rPr>
        <w:t xml:space="preserve"> propositions</w:t>
      </w:r>
      <w:r w:rsidR="008C06DA" w:rsidRPr="008E70BF">
        <w:rPr>
          <w:rFonts w:ascii="Cambria" w:hAnsi="Cambria" w:cs="Arial"/>
          <w:b/>
          <w:sz w:val="28"/>
          <w:szCs w:val="28"/>
        </w:rPr>
        <w:t> :</w:t>
      </w:r>
    </w:p>
    <w:tbl>
      <w:tblPr>
        <w:tblStyle w:val="GridTable5DarkAccent2"/>
        <w:tblW w:w="11162" w:type="dxa"/>
        <w:tblLook w:val="04A0"/>
      </w:tblPr>
      <w:tblGrid>
        <w:gridCol w:w="2875"/>
        <w:gridCol w:w="1454"/>
        <w:gridCol w:w="3418"/>
        <w:gridCol w:w="3415"/>
      </w:tblGrid>
      <w:tr w:rsidR="002C073D" w:rsidRPr="00C40169" w:rsidTr="00835A16">
        <w:trPr>
          <w:cnfStyle w:val="100000000000"/>
          <w:trHeight w:val="670"/>
        </w:trPr>
        <w:tc>
          <w:tcPr>
            <w:cnfStyle w:val="001000000000"/>
            <w:tcW w:w="2943" w:type="dxa"/>
            <w:vAlign w:val="center"/>
          </w:tcPr>
          <w:p w:rsidR="001D1B77" w:rsidRPr="00C40169" w:rsidRDefault="001D1B77" w:rsidP="003735EF">
            <w:pPr>
              <w:jc w:val="center"/>
              <w:rPr>
                <w:rFonts w:ascii="Cambria" w:hAnsi="Cambria" w:cs="Arial"/>
                <w:b w:val="0"/>
                <w:sz w:val="28"/>
                <w:szCs w:val="28"/>
              </w:rPr>
            </w:pPr>
          </w:p>
        </w:tc>
        <w:tc>
          <w:tcPr>
            <w:tcW w:w="1134" w:type="dxa"/>
            <w:vAlign w:val="center"/>
          </w:tcPr>
          <w:p w:rsidR="001D1B77" w:rsidRPr="00C40169" w:rsidRDefault="001D1B77" w:rsidP="003735EF">
            <w:pPr>
              <w:jc w:val="center"/>
              <w:cnfStyle w:val="100000000000"/>
              <w:rPr>
                <w:rFonts w:ascii="Cambria" w:hAnsi="Cambria" w:cs="Arial"/>
                <w:b w:val="0"/>
                <w:sz w:val="28"/>
                <w:szCs w:val="28"/>
              </w:rPr>
            </w:pPr>
            <w:r w:rsidRPr="00C40169">
              <w:rPr>
                <w:rFonts w:ascii="Cambria" w:hAnsi="Cambria" w:cs="Arial"/>
                <w:sz w:val="28"/>
                <w:szCs w:val="28"/>
              </w:rPr>
              <w:t>Sans accord</w:t>
            </w:r>
          </w:p>
        </w:tc>
        <w:tc>
          <w:tcPr>
            <w:tcW w:w="3544" w:type="dxa"/>
            <w:vAlign w:val="center"/>
          </w:tcPr>
          <w:p w:rsidR="001D1B77" w:rsidRPr="00C40169" w:rsidRDefault="001D1B77" w:rsidP="003735EF">
            <w:pPr>
              <w:jc w:val="center"/>
              <w:cnfStyle w:val="100000000000"/>
              <w:rPr>
                <w:rFonts w:ascii="Cambria" w:hAnsi="Cambria" w:cs="Arial"/>
                <w:b w:val="0"/>
                <w:sz w:val="28"/>
                <w:szCs w:val="28"/>
              </w:rPr>
            </w:pPr>
            <w:r w:rsidRPr="00C40169">
              <w:rPr>
                <w:rFonts w:ascii="Cambria" w:hAnsi="Cambria" w:cs="Arial"/>
                <w:sz w:val="28"/>
                <w:szCs w:val="28"/>
              </w:rPr>
              <w:t>Avec accord</w:t>
            </w:r>
          </w:p>
        </w:tc>
        <w:tc>
          <w:tcPr>
            <w:tcW w:w="3541" w:type="dxa"/>
            <w:vAlign w:val="center"/>
          </w:tcPr>
          <w:p w:rsidR="001D1B77" w:rsidRPr="00C40169" w:rsidRDefault="001D1B77" w:rsidP="003735EF">
            <w:pPr>
              <w:jc w:val="center"/>
              <w:cnfStyle w:val="100000000000"/>
              <w:rPr>
                <w:rFonts w:ascii="Cambria" w:hAnsi="Cambria" w:cs="Arial"/>
                <w:b w:val="0"/>
                <w:sz w:val="28"/>
                <w:szCs w:val="28"/>
              </w:rPr>
            </w:pPr>
            <w:r>
              <w:rPr>
                <w:rFonts w:ascii="Cambria" w:hAnsi="Cambria" w:cs="Arial"/>
                <w:sz w:val="28"/>
                <w:szCs w:val="28"/>
              </w:rPr>
              <w:t>Différence par rapport à la réunion du 8 décembre</w:t>
            </w:r>
          </w:p>
        </w:tc>
      </w:tr>
      <w:tr w:rsidR="002C073D" w:rsidRPr="00C40169" w:rsidTr="00835A16">
        <w:trPr>
          <w:cnfStyle w:val="000000100000"/>
          <w:trHeight w:val="335"/>
        </w:trPr>
        <w:tc>
          <w:tcPr>
            <w:cnfStyle w:val="001000000000"/>
            <w:tcW w:w="2943" w:type="dxa"/>
            <w:vAlign w:val="center"/>
          </w:tcPr>
          <w:p w:rsidR="001D1B77" w:rsidRPr="00C40169" w:rsidRDefault="001D1B77" w:rsidP="003735EF">
            <w:pPr>
              <w:jc w:val="center"/>
              <w:rPr>
                <w:rFonts w:ascii="Cambria" w:hAnsi="Cambria" w:cs="Arial"/>
                <w:b w:val="0"/>
                <w:sz w:val="28"/>
                <w:szCs w:val="28"/>
              </w:rPr>
            </w:pPr>
            <w:r w:rsidRPr="00C40169">
              <w:rPr>
                <w:rFonts w:ascii="Cambria" w:hAnsi="Cambria" w:cs="Arial"/>
                <w:sz w:val="28"/>
                <w:szCs w:val="28"/>
              </w:rPr>
              <w:t>AG</w:t>
            </w:r>
          </w:p>
        </w:tc>
        <w:tc>
          <w:tcPr>
            <w:tcW w:w="1134" w:type="dxa"/>
            <w:vAlign w:val="center"/>
          </w:tcPr>
          <w:p w:rsidR="001D1B77" w:rsidRPr="002A3C46" w:rsidRDefault="001D1B77" w:rsidP="003735EF">
            <w:pPr>
              <w:jc w:val="center"/>
              <w:cnfStyle w:val="000000100000"/>
              <w:rPr>
                <w:rFonts w:ascii="Cambria" w:hAnsi="Cambria" w:cs="Arial"/>
                <w:b/>
              </w:rPr>
            </w:pPr>
          </w:p>
        </w:tc>
        <w:tc>
          <w:tcPr>
            <w:tcW w:w="3544" w:type="dxa"/>
            <w:vAlign w:val="center"/>
          </w:tcPr>
          <w:p w:rsidR="001D1B77" w:rsidRPr="002A3C46" w:rsidRDefault="00A137B2" w:rsidP="009E22D6">
            <w:pPr>
              <w:jc w:val="center"/>
              <w:cnfStyle w:val="000000100000"/>
              <w:rPr>
                <w:rFonts w:ascii="Cambria" w:hAnsi="Cambria" w:cs="Arial"/>
                <w:b/>
              </w:rPr>
            </w:pPr>
            <w:r>
              <w:rPr>
                <w:rFonts w:ascii="Cambria" w:hAnsi="Cambria" w:cs="Arial"/>
                <w:b/>
              </w:rPr>
              <w:t>0,</w:t>
            </w:r>
            <w:r w:rsidR="009E22D6">
              <w:rPr>
                <w:rFonts w:ascii="Cambria" w:hAnsi="Cambria" w:cs="Arial"/>
                <w:b/>
              </w:rPr>
              <w:t>4</w:t>
            </w:r>
            <w:r>
              <w:rPr>
                <w:rFonts w:ascii="Cambria" w:hAnsi="Cambria" w:cs="Arial"/>
                <w:b/>
              </w:rPr>
              <w:t xml:space="preserve">%  au 1 </w:t>
            </w:r>
            <w:r w:rsidR="009E22D6">
              <w:rPr>
                <w:rFonts w:ascii="Cambria" w:hAnsi="Cambria" w:cs="Arial"/>
                <w:b/>
              </w:rPr>
              <w:t>janvier</w:t>
            </w:r>
            <w:r w:rsidR="001D1B77" w:rsidRPr="002A3C46">
              <w:rPr>
                <w:rFonts w:ascii="Cambria" w:hAnsi="Cambria" w:cs="Arial"/>
                <w:b/>
              </w:rPr>
              <w:t xml:space="preserve"> 2017</w:t>
            </w:r>
            <w:r>
              <w:rPr>
                <w:rFonts w:ascii="Cambria" w:hAnsi="Cambria" w:cs="Arial"/>
                <w:b/>
              </w:rPr>
              <w:t xml:space="preserve"> avec un talon de </w:t>
            </w:r>
            <w:r w:rsidR="009E22D6">
              <w:rPr>
                <w:rFonts w:ascii="Cambria" w:hAnsi="Cambria" w:cs="Arial"/>
                <w:b/>
              </w:rPr>
              <w:t>10</w:t>
            </w:r>
            <w:r>
              <w:rPr>
                <w:rFonts w:ascii="Cambria" w:hAnsi="Cambria" w:cs="Arial"/>
                <w:b/>
              </w:rPr>
              <w:t>€.</w:t>
            </w:r>
          </w:p>
        </w:tc>
        <w:tc>
          <w:tcPr>
            <w:tcW w:w="3541" w:type="dxa"/>
            <w:vAlign w:val="center"/>
          </w:tcPr>
          <w:p w:rsidR="001D1B77" w:rsidRPr="002A3C46" w:rsidRDefault="001D1B77" w:rsidP="003735EF">
            <w:pPr>
              <w:jc w:val="center"/>
              <w:cnfStyle w:val="000000100000"/>
              <w:rPr>
                <w:rFonts w:ascii="Cambria" w:hAnsi="Cambria" w:cs="Arial"/>
                <w:b/>
              </w:rPr>
            </w:pPr>
            <w:r w:rsidRPr="002A3C46">
              <w:rPr>
                <w:rFonts w:ascii="Cambria" w:hAnsi="Cambria" w:cs="Arial"/>
                <w:b/>
              </w:rPr>
              <w:t>0,2% 1 juillet 2017</w:t>
            </w:r>
          </w:p>
        </w:tc>
      </w:tr>
      <w:tr w:rsidR="002C073D" w:rsidRPr="00C40169" w:rsidTr="00835A16">
        <w:trPr>
          <w:trHeight w:val="2251"/>
        </w:trPr>
        <w:tc>
          <w:tcPr>
            <w:cnfStyle w:val="001000000000"/>
            <w:tcW w:w="2943" w:type="dxa"/>
            <w:vAlign w:val="center"/>
          </w:tcPr>
          <w:p w:rsidR="003735EF" w:rsidRDefault="003735EF" w:rsidP="003735EF">
            <w:pPr>
              <w:jc w:val="center"/>
              <w:rPr>
                <w:rFonts w:ascii="Cambria" w:hAnsi="Cambria" w:cs="Arial"/>
                <w:sz w:val="28"/>
                <w:szCs w:val="28"/>
              </w:rPr>
            </w:pPr>
            <w:r>
              <w:rPr>
                <w:rFonts w:ascii="Cambria" w:hAnsi="Cambria" w:cs="Arial"/>
                <w:sz w:val="28"/>
                <w:szCs w:val="28"/>
              </w:rPr>
              <w:t xml:space="preserve">Budget </w:t>
            </w:r>
            <w:r w:rsidRPr="00C40169">
              <w:rPr>
                <w:rFonts w:ascii="Cambria" w:hAnsi="Cambria" w:cs="Arial"/>
                <w:sz w:val="28"/>
                <w:szCs w:val="28"/>
              </w:rPr>
              <w:t>AI</w:t>
            </w:r>
          </w:p>
          <w:p w:rsidR="002C073D" w:rsidRPr="00C40169" w:rsidRDefault="002C073D" w:rsidP="003735EF">
            <w:pPr>
              <w:jc w:val="center"/>
              <w:rPr>
                <w:rFonts w:ascii="Cambria" w:hAnsi="Cambria" w:cs="Arial"/>
                <w:b w:val="0"/>
                <w:sz w:val="28"/>
                <w:szCs w:val="28"/>
              </w:rPr>
            </w:pPr>
            <w:r>
              <w:rPr>
                <w:rFonts w:ascii="Cambria" w:hAnsi="Cambria" w:cs="Arial"/>
                <w:sz w:val="28"/>
                <w:szCs w:val="28"/>
              </w:rPr>
              <w:t>OETAM</w:t>
            </w:r>
          </w:p>
        </w:tc>
        <w:tc>
          <w:tcPr>
            <w:tcW w:w="1134" w:type="dxa"/>
            <w:vAlign w:val="center"/>
          </w:tcPr>
          <w:p w:rsidR="003735EF" w:rsidRPr="002A3C46" w:rsidRDefault="003735EF" w:rsidP="002C073D">
            <w:pPr>
              <w:jc w:val="center"/>
              <w:cnfStyle w:val="000000000000"/>
              <w:rPr>
                <w:rFonts w:ascii="Cambria" w:hAnsi="Cambria" w:cs="Arial"/>
                <w:b/>
              </w:rPr>
            </w:pPr>
            <w:r w:rsidRPr="002A3C46">
              <w:rPr>
                <w:rFonts w:ascii="Cambria" w:hAnsi="Cambria" w:cs="Arial"/>
                <w:b/>
              </w:rPr>
              <w:t xml:space="preserve">1% </w:t>
            </w:r>
            <w:r w:rsidR="002C073D">
              <w:rPr>
                <w:rFonts w:ascii="Cambria" w:hAnsi="Cambria" w:cs="Arial"/>
                <w:b/>
              </w:rPr>
              <w:t>au 1/01/2017</w:t>
            </w:r>
          </w:p>
        </w:tc>
        <w:tc>
          <w:tcPr>
            <w:tcW w:w="3544" w:type="dxa"/>
            <w:vAlign w:val="center"/>
          </w:tcPr>
          <w:p w:rsidR="003735EF" w:rsidRPr="002A3C46" w:rsidRDefault="00E33389" w:rsidP="003735EF">
            <w:pPr>
              <w:jc w:val="center"/>
              <w:cnfStyle w:val="000000000000"/>
              <w:rPr>
                <w:rFonts w:ascii="Cambria" w:hAnsi="Cambria" w:cs="Arial"/>
                <w:b/>
              </w:rPr>
            </w:pPr>
            <w:r>
              <w:rPr>
                <w:rFonts w:ascii="Cambria" w:hAnsi="Cambria" w:cs="Arial"/>
                <w:b/>
              </w:rPr>
              <w:t xml:space="preserve">Budget </w:t>
            </w:r>
            <w:r w:rsidR="003735EF">
              <w:rPr>
                <w:rFonts w:ascii="Cambria" w:hAnsi="Cambria" w:cs="Arial"/>
                <w:b/>
              </w:rPr>
              <w:t xml:space="preserve">1,1% au </w:t>
            </w:r>
            <w:r w:rsidR="003735EF" w:rsidRPr="002A3C46">
              <w:rPr>
                <w:rFonts w:ascii="Cambria" w:hAnsi="Cambria" w:cs="Arial"/>
                <w:b/>
              </w:rPr>
              <w:t>1</w:t>
            </w:r>
            <w:r>
              <w:rPr>
                <w:rFonts w:ascii="Cambria" w:hAnsi="Cambria" w:cs="Arial"/>
                <w:b/>
              </w:rPr>
              <w:t>/01/</w:t>
            </w:r>
            <w:bookmarkStart w:id="0" w:name="_GoBack"/>
            <w:bookmarkEnd w:id="0"/>
            <w:r w:rsidR="003735EF" w:rsidRPr="002A3C46">
              <w:rPr>
                <w:rFonts w:ascii="Cambria" w:hAnsi="Cambria" w:cs="Arial"/>
                <w:b/>
              </w:rPr>
              <w:t>2017</w:t>
            </w:r>
          </w:p>
          <w:p w:rsidR="003735EF" w:rsidRDefault="003735EF" w:rsidP="003735EF">
            <w:pPr>
              <w:jc w:val="center"/>
              <w:cnfStyle w:val="000000000000"/>
              <w:rPr>
                <w:rFonts w:ascii="Cambria" w:hAnsi="Cambria" w:cs="Arial"/>
                <w:b/>
              </w:rPr>
            </w:pPr>
            <w:r>
              <w:rPr>
                <w:rFonts w:ascii="Cambria" w:hAnsi="Cambria" w:cs="Arial"/>
                <w:b/>
              </w:rPr>
              <w:t xml:space="preserve">Soit </w:t>
            </w:r>
            <w:r w:rsidRPr="002A3C46">
              <w:rPr>
                <w:rFonts w:ascii="Cambria" w:hAnsi="Cambria" w:cs="Arial"/>
                <w:b/>
              </w:rPr>
              <w:t xml:space="preserve">1,5% </w:t>
            </w:r>
            <w:r>
              <w:rPr>
                <w:rFonts w:ascii="Cambria" w:hAnsi="Cambria" w:cs="Arial"/>
                <w:b/>
              </w:rPr>
              <w:t xml:space="preserve">pour une </w:t>
            </w:r>
            <w:r w:rsidR="009E22D6">
              <w:rPr>
                <w:rFonts w:ascii="Cambria" w:hAnsi="Cambria" w:cs="Arial"/>
                <w:b/>
              </w:rPr>
              <w:t>AI simple avec un talon de 2</w:t>
            </w:r>
            <w:r w:rsidR="00BB6B9A">
              <w:rPr>
                <w:rFonts w:ascii="Cambria" w:hAnsi="Cambria" w:cs="Arial"/>
                <w:b/>
              </w:rPr>
              <w:t>5</w:t>
            </w:r>
            <w:r w:rsidR="009E22D6">
              <w:rPr>
                <w:rFonts w:ascii="Cambria" w:hAnsi="Cambria" w:cs="Arial"/>
                <w:b/>
              </w:rPr>
              <w:t xml:space="preserve">€, </w:t>
            </w:r>
            <w:r w:rsidRPr="002A3C46">
              <w:rPr>
                <w:rFonts w:ascii="Cambria" w:hAnsi="Cambria" w:cs="Arial"/>
                <w:b/>
              </w:rPr>
              <w:t>2,5%  pour un</w:t>
            </w:r>
            <w:r w:rsidR="009E22D6">
              <w:rPr>
                <w:rFonts w:ascii="Cambria" w:hAnsi="Cambria" w:cs="Arial"/>
                <w:b/>
              </w:rPr>
              <w:t xml:space="preserve"> changement</w:t>
            </w:r>
            <w:r w:rsidRPr="002A3C46">
              <w:rPr>
                <w:rFonts w:ascii="Cambria" w:hAnsi="Cambria" w:cs="Arial"/>
                <w:b/>
              </w:rPr>
              <w:t xml:space="preserve"> </w:t>
            </w:r>
            <w:r w:rsidR="009E22D6">
              <w:rPr>
                <w:rFonts w:ascii="Cambria" w:hAnsi="Cambria" w:cs="Arial"/>
                <w:b/>
              </w:rPr>
              <w:t>de KH</w:t>
            </w:r>
          </w:p>
          <w:p w:rsidR="003735EF" w:rsidRPr="002A3C46" w:rsidRDefault="009E22D6" w:rsidP="009E22D6">
            <w:pPr>
              <w:jc w:val="center"/>
              <w:cnfStyle w:val="000000000000"/>
              <w:rPr>
                <w:rFonts w:ascii="Cambria" w:hAnsi="Cambria" w:cs="Arial"/>
                <w:b/>
              </w:rPr>
            </w:pPr>
            <w:r>
              <w:rPr>
                <w:rFonts w:ascii="Cambria" w:hAnsi="Cambria" w:cs="Arial"/>
                <w:b/>
              </w:rPr>
              <w:t>(</w:t>
            </w:r>
            <w:r w:rsidR="003735EF" w:rsidRPr="002A3C46">
              <w:rPr>
                <w:rFonts w:ascii="Cambria" w:hAnsi="Cambria" w:cs="Arial"/>
                <w:b/>
              </w:rPr>
              <w:t>3%  passage art 36 ou 4 bis)</w:t>
            </w:r>
          </w:p>
        </w:tc>
        <w:tc>
          <w:tcPr>
            <w:tcW w:w="3541" w:type="dxa"/>
            <w:vAlign w:val="center"/>
          </w:tcPr>
          <w:p w:rsidR="003735EF" w:rsidRPr="002A3C46" w:rsidRDefault="003735EF" w:rsidP="003735EF">
            <w:pPr>
              <w:jc w:val="center"/>
              <w:cnfStyle w:val="000000000000"/>
              <w:rPr>
                <w:rFonts w:ascii="Cambria" w:hAnsi="Cambria" w:cs="Arial"/>
                <w:b/>
              </w:rPr>
            </w:pPr>
            <w:r w:rsidRPr="002A3C46">
              <w:rPr>
                <w:rFonts w:ascii="Cambria" w:hAnsi="Cambria" w:cs="Arial"/>
                <w:b/>
              </w:rPr>
              <w:t>1% 1 avril 2017</w:t>
            </w:r>
          </w:p>
          <w:p w:rsidR="003735EF" w:rsidRPr="002A3C46" w:rsidRDefault="003735EF" w:rsidP="003735EF">
            <w:pPr>
              <w:jc w:val="center"/>
              <w:cnfStyle w:val="000000000000"/>
              <w:rPr>
                <w:rFonts w:ascii="Cambria" w:hAnsi="Cambria" w:cs="Arial"/>
                <w:b/>
              </w:rPr>
            </w:pPr>
            <w:r w:rsidRPr="002A3C46">
              <w:rPr>
                <w:rFonts w:ascii="Cambria" w:hAnsi="Cambria" w:cs="Arial"/>
                <w:b/>
              </w:rPr>
              <w:t>1,5% A.I  2,5%  pour une promotion et 3%  passage (art 36 ou 4 bis)</w:t>
            </w:r>
          </w:p>
        </w:tc>
      </w:tr>
      <w:tr w:rsidR="002C073D" w:rsidRPr="00C40169" w:rsidTr="00835A16">
        <w:trPr>
          <w:cnfStyle w:val="000000100000"/>
          <w:trHeight w:val="335"/>
        </w:trPr>
        <w:tc>
          <w:tcPr>
            <w:cnfStyle w:val="001000000000"/>
            <w:tcW w:w="2943" w:type="dxa"/>
            <w:vAlign w:val="center"/>
          </w:tcPr>
          <w:p w:rsidR="001D1B77" w:rsidRPr="00C40169" w:rsidRDefault="001D1B77" w:rsidP="003735EF">
            <w:pPr>
              <w:jc w:val="center"/>
              <w:rPr>
                <w:rFonts w:ascii="Cambria" w:hAnsi="Cambria" w:cs="Arial"/>
                <w:b w:val="0"/>
                <w:sz w:val="28"/>
                <w:szCs w:val="28"/>
              </w:rPr>
            </w:pPr>
            <w:r w:rsidRPr="00C40169">
              <w:rPr>
                <w:rFonts w:ascii="Cambria" w:hAnsi="Cambria" w:cs="Arial"/>
                <w:sz w:val="28"/>
                <w:szCs w:val="28"/>
              </w:rPr>
              <w:t>Prime</w:t>
            </w:r>
          </w:p>
        </w:tc>
        <w:tc>
          <w:tcPr>
            <w:tcW w:w="1134" w:type="dxa"/>
            <w:vAlign w:val="center"/>
          </w:tcPr>
          <w:p w:rsidR="001D1B77" w:rsidRPr="002A3C46" w:rsidRDefault="001D1B77" w:rsidP="003735EF">
            <w:pPr>
              <w:jc w:val="center"/>
              <w:cnfStyle w:val="000000100000"/>
              <w:rPr>
                <w:rFonts w:ascii="Cambria" w:hAnsi="Cambria" w:cs="Arial"/>
                <w:b/>
              </w:rPr>
            </w:pPr>
          </w:p>
        </w:tc>
        <w:tc>
          <w:tcPr>
            <w:tcW w:w="3544" w:type="dxa"/>
            <w:vAlign w:val="center"/>
          </w:tcPr>
          <w:p w:rsidR="001D1B77" w:rsidRPr="002A3C46" w:rsidRDefault="009E22D6" w:rsidP="009E22D6">
            <w:pPr>
              <w:jc w:val="center"/>
              <w:cnfStyle w:val="000000100000"/>
              <w:rPr>
                <w:rFonts w:ascii="Cambria" w:hAnsi="Cambria" w:cs="Arial"/>
                <w:b/>
              </w:rPr>
            </w:pPr>
            <w:r>
              <w:rPr>
                <w:rFonts w:ascii="Cambria" w:hAnsi="Cambria" w:cs="Arial"/>
                <w:b/>
              </w:rPr>
              <w:t xml:space="preserve">80€ + 5% du fixe mensuel avec un minimum de 200€ sur la paie </w:t>
            </w:r>
            <w:r w:rsidR="00A137B2">
              <w:rPr>
                <w:rFonts w:ascii="Cambria" w:hAnsi="Cambria" w:cs="Arial"/>
                <w:b/>
              </w:rPr>
              <w:t>de janvier</w:t>
            </w:r>
            <w:r w:rsidR="001D1B77" w:rsidRPr="002A3C46">
              <w:rPr>
                <w:rFonts w:ascii="Cambria" w:hAnsi="Cambria" w:cs="Arial"/>
                <w:b/>
              </w:rPr>
              <w:t xml:space="preserve"> 2017</w:t>
            </w:r>
          </w:p>
        </w:tc>
        <w:tc>
          <w:tcPr>
            <w:tcW w:w="3541" w:type="dxa"/>
            <w:vAlign w:val="center"/>
          </w:tcPr>
          <w:p w:rsidR="001D1B77" w:rsidRPr="002A3C46" w:rsidRDefault="001D1B77" w:rsidP="003735EF">
            <w:pPr>
              <w:jc w:val="center"/>
              <w:cnfStyle w:val="000000100000"/>
              <w:rPr>
                <w:rFonts w:ascii="Cambria" w:hAnsi="Cambria" w:cs="Arial"/>
                <w:b/>
              </w:rPr>
            </w:pPr>
            <w:r w:rsidRPr="002A3C46">
              <w:rPr>
                <w:rFonts w:ascii="Cambria" w:hAnsi="Cambria" w:cs="Arial"/>
                <w:b/>
              </w:rPr>
              <w:t>120€ 1 janvier 2017</w:t>
            </w:r>
          </w:p>
        </w:tc>
      </w:tr>
      <w:tr w:rsidR="002C073D" w:rsidRPr="00C40169" w:rsidTr="00835A16">
        <w:trPr>
          <w:trHeight w:val="655"/>
        </w:trPr>
        <w:tc>
          <w:tcPr>
            <w:cnfStyle w:val="001000000000"/>
            <w:tcW w:w="2943" w:type="dxa"/>
            <w:vAlign w:val="center"/>
          </w:tcPr>
          <w:p w:rsidR="001D1B77" w:rsidRPr="00C40169" w:rsidRDefault="001D1B77" w:rsidP="003735EF">
            <w:pPr>
              <w:jc w:val="center"/>
              <w:rPr>
                <w:rFonts w:ascii="Cambria" w:hAnsi="Cambria" w:cs="Arial"/>
                <w:b w:val="0"/>
                <w:sz w:val="28"/>
                <w:szCs w:val="28"/>
              </w:rPr>
            </w:pPr>
            <w:r w:rsidRPr="00C40169">
              <w:rPr>
                <w:rFonts w:ascii="Cambria" w:hAnsi="Cambria" w:cs="Arial"/>
                <w:sz w:val="28"/>
                <w:szCs w:val="28"/>
              </w:rPr>
              <w:t>Budget spécifique</w:t>
            </w:r>
          </w:p>
        </w:tc>
        <w:tc>
          <w:tcPr>
            <w:tcW w:w="1134" w:type="dxa"/>
            <w:vAlign w:val="center"/>
          </w:tcPr>
          <w:p w:rsidR="001D1B77" w:rsidRPr="002A3C46" w:rsidRDefault="001D1B77" w:rsidP="003735EF">
            <w:pPr>
              <w:jc w:val="center"/>
              <w:cnfStyle w:val="000000000000"/>
              <w:rPr>
                <w:rFonts w:ascii="Cambria" w:hAnsi="Cambria" w:cs="Arial"/>
                <w:b/>
              </w:rPr>
            </w:pPr>
          </w:p>
        </w:tc>
        <w:tc>
          <w:tcPr>
            <w:tcW w:w="3544" w:type="dxa"/>
            <w:vAlign w:val="center"/>
          </w:tcPr>
          <w:p w:rsidR="001D1B77" w:rsidRPr="002A3C46" w:rsidRDefault="001D1B77" w:rsidP="003735EF">
            <w:pPr>
              <w:jc w:val="center"/>
              <w:cnfStyle w:val="000000000000"/>
              <w:rPr>
                <w:rFonts w:ascii="Cambria" w:hAnsi="Cambria" w:cs="Arial"/>
                <w:b/>
              </w:rPr>
            </w:pPr>
            <w:r w:rsidRPr="002A3C46">
              <w:rPr>
                <w:rFonts w:ascii="Cambria" w:hAnsi="Cambria" w:cs="Arial"/>
                <w:b/>
              </w:rPr>
              <w:t>0</w:t>
            </w:r>
          </w:p>
        </w:tc>
        <w:tc>
          <w:tcPr>
            <w:tcW w:w="3541" w:type="dxa"/>
            <w:vAlign w:val="center"/>
          </w:tcPr>
          <w:p w:rsidR="001D1B77" w:rsidRPr="002A3C46" w:rsidRDefault="001D1B77" w:rsidP="003735EF">
            <w:pPr>
              <w:jc w:val="center"/>
              <w:cnfStyle w:val="000000000000"/>
              <w:rPr>
                <w:rFonts w:ascii="Cambria" w:hAnsi="Cambria" w:cs="Arial"/>
                <w:b/>
              </w:rPr>
            </w:pPr>
            <w:r w:rsidRPr="002A3C46">
              <w:rPr>
                <w:rFonts w:ascii="Cambria" w:hAnsi="Cambria" w:cs="Arial"/>
                <w:b/>
              </w:rPr>
              <w:t>0</w:t>
            </w:r>
          </w:p>
        </w:tc>
      </w:tr>
      <w:tr w:rsidR="002C073D" w:rsidRPr="00C40169" w:rsidTr="00835A16">
        <w:trPr>
          <w:cnfStyle w:val="000000100000"/>
          <w:trHeight w:val="335"/>
        </w:trPr>
        <w:tc>
          <w:tcPr>
            <w:cnfStyle w:val="001000000000"/>
            <w:tcW w:w="2943" w:type="dxa"/>
            <w:vAlign w:val="center"/>
          </w:tcPr>
          <w:p w:rsidR="001D1B77" w:rsidRPr="00C40169" w:rsidRDefault="001D1B77" w:rsidP="003735EF">
            <w:pPr>
              <w:jc w:val="center"/>
              <w:rPr>
                <w:rFonts w:ascii="Cambria" w:hAnsi="Cambria" w:cs="Arial"/>
                <w:b w:val="0"/>
                <w:sz w:val="28"/>
                <w:szCs w:val="28"/>
              </w:rPr>
            </w:pPr>
            <w:r w:rsidRPr="00C40169">
              <w:rPr>
                <w:rFonts w:ascii="Cambria" w:hAnsi="Cambria" w:cs="Arial"/>
                <w:sz w:val="28"/>
                <w:szCs w:val="28"/>
              </w:rPr>
              <w:t>RAG</w:t>
            </w:r>
          </w:p>
        </w:tc>
        <w:tc>
          <w:tcPr>
            <w:tcW w:w="1134" w:type="dxa"/>
            <w:vAlign w:val="center"/>
          </w:tcPr>
          <w:p w:rsidR="001D1B77" w:rsidRPr="002A3C46" w:rsidRDefault="001D1B77" w:rsidP="003735EF">
            <w:pPr>
              <w:jc w:val="center"/>
              <w:cnfStyle w:val="000000100000"/>
              <w:rPr>
                <w:rFonts w:ascii="Cambria" w:hAnsi="Cambria" w:cs="Arial"/>
                <w:b/>
              </w:rPr>
            </w:pPr>
          </w:p>
        </w:tc>
        <w:tc>
          <w:tcPr>
            <w:tcW w:w="3544" w:type="dxa"/>
            <w:vAlign w:val="center"/>
          </w:tcPr>
          <w:p w:rsidR="001D1B77" w:rsidRPr="002A3C46" w:rsidRDefault="00A137B2" w:rsidP="009E22D6">
            <w:pPr>
              <w:jc w:val="center"/>
              <w:cnfStyle w:val="000000100000"/>
              <w:rPr>
                <w:rFonts w:ascii="Cambria" w:hAnsi="Cambria" w:cs="Arial"/>
                <w:b/>
              </w:rPr>
            </w:pPr>
            <w:r>
              <w:rPr>
                <w:rFonts w:ascii="Cambria" w:hAnsi="Cambria" w:cs="Arial"/>
                <w:b/>
              </w:rPr>
              <w:t>24</w:t>
            </w:r>
            <w:r w:rsidR="009E22D6">
              <w:rPr>
                <w:rFonts w:ascii="Cambria" w:hAnsi="Cambria" w:cs="Arial"/>
                <w:b/>
              </w:rPr>
              <w:t>100</w:t>
            </w:r>
            <w:r w:rsidR="001D1B77" w:rsidRPr="002A3C46">
              <w:rPr>
                <w:rFonts w:ascii="Cambria" w:hAnsi="Cambria" w:cs="Arial"/>
                <w:b/>
              </w:rPr>
              <w:t>€</w:t>
            </w:r>
          </w:p>
        </w:tc>
        <w:tc>
          <w:tcPr>
            <w:tcW w:w="3541" w:type="dxa"/>
            <w:vAlign w:val="center"/>
          </w:tcPr>
          <w:p w:rsidR="001D1B77" w:rsidRPr="002A3C46" w:rsidRDefault="001D1B77" w:rsidP="003735EF">
            <w:pPr>
              <w:jc w:val="center"/>
              <w:cnfStyle w:val="000000100000"/>
              <w:rPr>
                <w:rFonts w:ascii="Cambria" w:hAnsi="Cambria" w:cs="Arial"/>
                <w:b/>
              </w:rPr>
            </w:pPr>
            <w:r w:rsidRPr="002A3C46">
              <w:rPr>
                <w:rFonts w:ascii="Cambria" w:hAnsi="Cambria" w:cs="Arial"/>
                <w:b/>
              </w:rPr>
              <w:t>24000€</w:t>
            </w:r>
          </w:p>
        </w:tc>
      </w:tr>
      <w:tr w:rsidR="002C073D" w:rsidRPr="00C40169" w:rsidTr="00835A16">
        <w:trPr>
          <w:trHeight w:val="520"/>
        </w:trPr>
        <w:tc>
          <w:tcPr>
            <w:cnfStyle w:val="001000000000"/>
            <w:tcW w:w="2943" w:type="dxa"/>
            <w:vAlign w:val="center"/>
          </w:tcPr>
          <w:p w:rsidR="001D1B77" w:rsidRPr="002C7BEA" w:rsidRDefault="001D1B77" w:rsidP="003735EF">
            <w:pPr>
              <w:jc w:val="center"/>
              <w:rPr>
                <w:rFonts w:ascii="Cambria" w:hAnsi="Cambria" w:cs="Arial"/>
                <w:sz w:val="28"/>
                <w:szCs w:val="28"/>
              </w:rPr>
            </w:pPr>
            <w:r w:rsidRPr="002C7BEA">
              <w:rPr>
                <w:rFonts w:ascii="Cambria" w:hAnsi="Cambria" w:cs="Arial"/>
                <w:sz w:val="28"/>
                <w:szCs w:val="28"/>
              </w:rPr>
              <w:t>I</w:t>
            </w:r>
            <w:r w:rsidR="003F6481" w:rsidRPr="002C7BEA">
              <w:rPr>
                <w:rFonts w:ascii="Cambria" w:hAnsi="Cambria" w:cs="Arial"/>
                <w:sz w:val="28"/>
                <w:szCs w:val="28"/>
              </w:rPr>
              <w:t>.</w:t>
            </w:r>
            <w:r w:rsidRPr="002C7BEA">
              <w:rPr>
                <w:rFonts w:ascii="Cambria" w:hAnsi="Cambria" w:cs="Arial"/>
                <w:sz w:val="28"/>
                <w:szCs w:val="28"/>
              </w:rPr>
              <w:t>C</w:t>
            </w:r>
          </w:p>
        </w:tc>
        <w:tc>
          <w:tcPr>
            <w:tcW w:w="1134" w:type="dxa"/>
            <w:vAlign w:val="center"/>
          </w:tcPr>
          <w:p w:rsidR="001D1B77" w:rsidRPr="002A3C46" w:rsidRDefault="001D1B77" w:rsidP="002C073D">
            <w:pPr>
              <w:jc w:val="center"/>
              <w:cnfStyle w:val="000000000000"/>
              <w:rPr>
                <w:rFonts w:ascii="Cambria" w:hAnsi="Cambria" w:cs="Arial"/>
                <w:b/>
              </w:rPr>
            </w:pPr>
            <w:r w:rsidRPr="002A3C46">
              <w:rPr>
                <w:rFonts w:ascii="Cambria" w:hAnsi="Cambria" w:cs="Arial"/>
                <w:b/>
              </w:rPr>
              <w:t>1%</w:t>
            </w:r>
            <w:r w:rsidR="002C073D">
              <w:rPr>
                <w:rFonts w:ascii="Cambria" w:hAnsi="Cambria" w:cs="Arial"/>
                <w:b/>
              </w:rPr>
              <w:t xml:space="preserve"> au 1/04/2017 </w:t>
            </w:r>
          </w:p>
        </w:tc>
        <w:tc>
          <w:tcPr>
            <w:tcW w:w="3544" w:type="dxa"/>
            <w:vAlign w:val="center"/>
          </w:tcPr>
          <w:p w:rsidR="001D1B77" w:rsidRPr="002A3C46" w:rsidRDefault="00A137B2" w:rsidP="009E22D6">
            <w:pPr>
              <w:jc w:val="center"/>
              <w:cnfStyle w:val="000000000000"/>
              <w:rPr>
                <w:rFonts w:ascii="Cambria" w:hAnsi="Cambria" w:cs="Arial"/>
                <w:b/>
              </w:rPr>
            </w:pPr>
            <w:r>
              <w:rPr>
                <w:rFonts w:ascii="Cambria" w:hAnsi="Cambria" w:cs="Arial"/>
                <w:b/>
              </w:rPr>
              <w:t>1,</w:t>
            </w:r>
            <w:r w:rsidR="009E22D6">
              <w:rPr>
                <w:rFonts w:ascii="Cambria" w:hAnsi="Cambria" w:cs="Arial"/>
                <w:b/>
              </w:rPr>
              <w:t>5</w:t>
            </w:r>
            <w:r w:rsidR="001D1B77" w:rsidRPr="002A3C46">
              <w:rPr>
                <w:rFonts w:ascii="Cambria" w:hAnsi="Cambria" w:cs="Arial"/>
                <w:b/>
              </w:rPr>
              <w:t xml:space="preserve">% au  1 </w:t>
            </w:r>
            <w:r>
              <w:rPr>
                <w:rFonts w:ascii="Cambria" w:hAnsi="Cambria" w:cs="Arial"/>
                <w:b/>
              </w:rPr>
              <w:t>avril 2017</w:t>
            </w:r>
          </w:p>
        </w:tc>
        <w:tc>
          <w:tcPr>
            <w:tcW w:w="3541" w:type="dxa"/>
            <w:vAlign w:val="center"/>
          </w:tcPr>
          <w:p w:rsidR="001D1B77" w:rsidRPr="002A3C46" w:rsidRDefault="001D1B77" w:rsidP="003735EF">
            <w:pPr>
              <w:jc w:val="center"/>
              <w:cnfStyle w:val="000000000000"/>
              <w:rPr>
                <w:rFonts w:ascii="Cambria" w:hAnsi="Cambria" w:cs="Arial"/>
                <w:b/>
              </w:rPr>
            </w:pPr>
            <w:r w:rsidRPr="002A3C46">
              <w:rPr>
                <w:rFonts w:ascii="Cambria" w:hAnsi="Cambria" w:cs="Arial"/>
                <w:b/>
              </w:rPr>
              <w:t>1,2% au  1 juillet</w:t>
            </w:r>
          </w:p>
        </w:tc>
      </w:tr>
      <w:tr w:rsidR="00835A16" w:rsidRPr="00C40169" w:rsidTr="003D7821">
        <w:trPr>
          <w:cnfStyle w:val="000000100000"/>
          <w:trHeight w:val="335"/>
        </w:trPr>
        <w:tc>
          <w:tcPr>
            <w:cnfStyle w:val="001000000000"/>
            <w:tcW w:w="11162" w:type="dxa"/>
            <w:gridSpan w:val="4"/>
            <w:vAlign w:val="center"/>
          </w:tcPr>
          <w:p w:rsidR="00835A16" w:rsidRPr="001C3C6C" w:rsidRDefault="00835A16" w:rsidP="00835A16">
            <w:pPr>
              <w:jc w:val="center"/>
              <w:rPr>
                <w:rFonts w:ascii="Cambria" w:hAnsi="Cambria" w:cs="Arial"/>
                <w:sz w:val="28"/>
                <w:szCs w:val="28"/>
              </w:rPr>
            </w:pPr>
            <w:r w:rsidRPr="001C3C6C">
              <w:rPr>
                <w:rFonts w:ascii="Cambria" w:hAnsi="Cambria" w:cs="Arial"/>
                <w:sz w:val="28"/>
                <w:szCs w:val="28"/>
              </w:rPr>
              <w:t>Spécificité pour Dunkerque et Florange</w:t>
            </w:r>
          </w:p>
        </w:tc>
      </w:tr>
      <w:tr w:rsidR="00835A16" w:rsidRPr="00C40169" w:rsidTr="00BD1E76">
        <w:trPr>
          <w:trHeight w:val="335"/>
        </w:trPr>
        <w:tc>
          <w:tcPr>
            <w:cnfStyle w:val="001000000000"/>
            <w:tcW w:w="2943" w:type="dxa"/>
            <w:vAlign w:val="center"/>
          </w:tcPr>
          <w:p w:rsidR="00835A16" w:rsidRPr="002C7BEA" w:rsidRDefault="00835A16" w:rsidP="00835A16">
            <w:pPr>
              <w:jc w:val="center"/>
              <w:rPr>
                <w:rFonts w:ascii="Cambria" w:hAnsi="Cambria" w:cs="Arial"/>
                <w:sz w:val="28"/>
                <w:szCs w:val="28"/>
              </w:rPr>
            </w:pPr>
            <w:r>
              <w:rPr>
                <w:rFonts w:ascii="Cambria" w:hAnsi="Cambria" w:cs="Arial"/>
                <w:sz w:val="28"/>
                <w:szCs w:val="28"/>
              </w:rPr>
              <w:t>Primes  « pénibilité » et « conditions particulières de travail »</w:t>
            </w:r>
          </w:p>
        </w:tc>
        <w:tc>
          <w:tcPr>
            <w:tcW w:w="8219" w:type="dxa"/>
            <w:gridSpan w:val="3"/>
            <w:vAlign w:val="center"/>
          </w:tcPr>
          <w:p w:rsidR="00835A16" w:rsidRPr="002A3C46" w:rsidRDefault="00835A16" w:rsidP="00835A16">
            <w:pPr>
              <w:jc w:val="center"/>
              <w:cnfStyle w:val="000000000000"/>
              <w:rPr>
                <w:rFonts w:ascii="Cambria" w:hAnsi="Cambria" w:cs="Arial"/>
                <w:b/>
              </w:rPr>
            </w:pPr>
            <w:r>
              <w:rPr>
                <w:rFonts w:ascii="Cambria" w:hAnsi="Cambria" w:cs="Arial"/>
                <w:b/>
              </w:rPr>
              <w:t>Revalorisation de 10€ au 1/01/2017.</w:t>
            </w:r>
          </w:p>
        </w:tc>
      </w:tr>
    </w:tbl>
    <w:p w:rsidR="00D93438" w:rsidRDefault="00D93438" w:rsidP="00A73A18">
      <w:pPr>
        <w:jc w:val="both"/>
        <w:rPr>
          <w:rFonts w:ascii="Cambria" w:hAnsi="Cambria" w:cs="Arial"/>
          <w:sz w:val="28"/>
          <w:szCs w:val="28"/>
        </w:rPr>
        <w:sectPr w:rsidR="00D93438" w:rsidSect="003A0910">
          <w:type w:val="continuous"/>
          <w:pgSz w:w="11906" w:h="16838"/>
          <w:pgMar w:top="284" w:right="282" w:bottom="568" w:left="426" w:header="709" w:footer="709" w:gutter="0"/>
          <w:cols w:space="708"/>
          <w:docGrid w:linePitch="360"/>
        </w:sectPr>
      </w:pPr>
    </w:p>
    <w:p w:rsidR="00775317" w:rsidRDefault="00775317" w:rsidP="00A73A18">
      <w:pPr>
        <w:jc w:val="both"/>
        <w:rPr>
          <w:rFonts w:ascii="Cambria" w:hAnsi="Cambria" w:cs="Arial"/>
        </w:rPr>
      </w:pPr>
    </w:p>
    <w:p w:rsidR="00A73A18" w:rsidRDefault="001E7EAD" w:rsidP="00A73A18">
      <w:pPr>
        <w:jc w:val="both"/>
        <w:rPr>
          <w:rFonts w:ascii="Cambria" w:hAnsi="Cambria" w:cs="Arial"/>
        </w:rPr>
      </w:pPr>
      <w:r>
        <w:rPr>
          <w:rFonts w:ascii="Cambria" w:hAnsi="Cambria" w:cs="Arial"/>
          <w:noProof/>
          <w:sz w:val="40"/>
          <w:szCs w:val="40"/>
          <w:u w:val="single"/>
          <w:lang w:eastAsia="fr-FR"/>
        </w:rPr>
        <w:drawing>
          <wp:anchor distT="0" distB="0" distL="114300" distR="114300" simplePos="0" relativeHeight="251657728" behindDoc="0" locked="0" layoutInCell="1" allowOverlap="1">
            <wp:simplePos x="0" y="0"/>
            <wp:positionH relativeFrom="column">
              <wp:posOffset>5715</wp:posOffset>
            </wp:positionH>
            <wp:positionV relativeFrom="paragraph">
              <wp:posOffset>92075</wp:posOffset>
            </wp:positionV>
            <wp:extent cx="1876425" cy="1569720"/>
            <wp:effectExtent l="0" t="0" r="0" b="0"/>
            <wp:wrapThrough wrapText="bothSides">
              <wp:wrapPolygon edited="0">
                <wp:start x="0" y="0"/>
                <wp:lineTo x="0" y="21233"/>
                <wp:lineTo x="21490" y="21233"/>
                <wp:lineTo x="21490" y="0"/>
                <wp:lineTo x="0"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sCAPVV4M5.jpg"/>
                    <pic:cNvPicPr/>
                  </pic:nvPicPr>
                  <pic:blipFill rotWithShape="1">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7957" r="25972"/>
                    <a:stretch/>
                  </pic:blipFill>
                  <pic:spPr bwMode="auto">
                    <a:xfrm>
                      <a:off x="0" y="0"/>
                      <a:ext cx="1876425" cy="156972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1D1B77" w:rsidRPr="001E7EAD">
        <w:rPr>
          <w:rFonts w:ascii="Cambria" w:hAnsi="Cambria" w:cs="Arial"/>
        </w:rPr>
        <w:t>Le compte n’y est pas</w:t>
      </w:r>
      <w:r w:rsidR="006E552F" w:rsidRPr="001E7EAD">
        <w:rPr>
          <w:rFonts w:ascii="Cambria" w:hAnsi="Cambria" w:cs="Arial"/>
        </w:rPr>
        <w:t>,</w:t>
      </w:r>
      <w:r w:rsidR="001D1B77" w:rsidRPr="001E7EAD">
        <w:rPr>
          <w:rFonts w:ascii="Cambria" w:hAnsi="Cambria" w:cs="Arial"/>
        </w:rPr>
        <w:t xml:space="preserve"> la direction doit revoir sa copie, par leurs actions les salariés ont exprimé qu’au sein d’</w:t>
      </w:r>
      <w:r w:rsidR="006E552F" w:rsidRPr="001E7EAD">
        <w:rPr>
          <w:rFonts w:ascii="Cambria" w:hAnsi="Cambria" w:cs="Arial"/>
        </w:rPr>
        <w:t xml:space="preserve">Amal </w:t>
      </w:r>
      <w:r w:rsidR="001D1B77" w:rsidRPr="001E7EAD">
        <w:rPr>
          <w:rFonts w:ascii="Cambria" w:hAnsi="Cambria" w:cs="Arial"/>
        </w:rPr>
        <w:t xml:space="preserve">une autre politique salariale </w:t>
      </w:r>
      <w:r w:rsidR="006E552F" w:rsidRPr="001E7EAD">
        <w:rPr>
          <w:rFonts w:ascii="Cambria" w:hAnsi="Cambria" w:cs="Arial"/>
        </w:rPr>
        <w:t xml:space="preserve"> est impérative. </w:t>
      </w:r>
      <w:r w:rsidR="00CA6FEA" w:rsidRPr="001E7EAD">
        <w:rPr>
          <w:rFonts w:ascii="Cambria" w:hAnsi="Cambria" w:cs="Arial"/>
        </w:rPr>
        <w:t>Face</w:t>
      </w:r>
      <w:r w:rsidR="001D1B77" w:rsidRPr="001E7EAD">
        <w:rPr>
          <w:rFonts w:ascii="Cambria" w:hAnsi="Cambria" w:cs="Arial"/>
        </w:rPr>
        <w:t xml:space="preserve"> aux provocations de la direction tant sur ces propositions que sur son comportement</w:t>
      </w:r>
      <w:r w:rsidR="00CD5F5D" w:rsidRPr="001E7EAD">
        <w:rPr>
          <w:rFonts w:ascii="Cambria" w:hAnsi="Cambria" w:cs="Arial"/>
        </w:rPr>
        <w:t>,</w:t>
      </w:r>
      <w:r w:rsidR="00CA6FEA" w:rsidRPr="001E7EAD">
        <w:rPr>
          <w:rFonts w:ascii="Cambria" w:hAnsi="Cambria" w:cs="Arial"/>
        </w:rPr>
        <w:t xml:space="preserve"> la CGT appelle les salariés</w:t>
      </w:r>
      <w:r w:rsidR="002E7683" w:rsidRPr="001E7EAD">
        <w:rPr>
          <w:rFonts w:ascii="Cambria" w:hAnsi="Cambria" w:cs="Arial"/>
        </w:rPr>
        <w:t xml:space="preserve"> </w:t>
      </w:r>
      <w:r w:rsidR="00D0587B" w:rsidRPr="001E7EAD">
        <w:rPr>
          <w:rFonts w:ascii="Cambria" w:hAnsi="Cambria" w:cs="Arial"/>
        </w:rPr>
        <w:t>et toutes les Organisations Syndicale</w:t>
      </w:r>
      <w:r w:rsidR="002E7683" w:rsidRPr="001E7EAD">
        <w:rPr>
          <w:rFonts w:ascii="Cambria" w:hAnsi="Cambria" w:cs="Arial"/>
        </w:rPr>
        <w:t>s</w:t>
      </w:r>
      <w:r w:rsidR="00CA6FEA" w:rsidRPr="001E7EAD">
        <w:rPr>
          <w:rFonts w:ascii="Cambria" w:hAnsi="Cambria" w:cs="Arial"/>
        </w:rPr>
        <w:t xml:space="preserve"> à </w:t>
      </w:r>
      <w:r w:rsidR="008C06DA" w:rsidRPr="001E7EAD">
        <w:rPr>
          <w:rFonts w:ascii="Cambria" w:hAnsi="Cambria" w:cs="Arial"/>
        </w:rPr>
        <w:t xml:space="preserve">s’unir et </w:t>
      </w:r>
      <w:r w:rsidR="00CA6FEA" w:rsidRPr="001E7EAD">
        <w:rPr>
          <w:rFonts w:ascii="Cambria" w:hAnsi="Cambria" w:cs="Arial"/>
        </w:rPr>
        <w:t>agir pou</w:t>
      </w:r>
      <w:r w:rsidR="008C06DA" w:rsidRPr="001E7EAD">
        <w:rPr>
          <w:rFonts w:ascii="Cambria" w:hAnsi="Cambria" w:cs="Arial"/>
        </w:rPr>
        <w:t>r une autre politique salariale.</w:t>
      </w:r>
    </w:p>
    <w:p w:rsidR="00775317" w:rsidRDefault="00775317" w:rsidP="00A73A18">
      <w:pPr>
        <w:jc w:val="both"/>
        <w:rPr>
          <w:rFonts w:ascii="Cambria" w:hAnsi="Cambria" w:cs="Arial"/>
        </w:rPr>
      </w:pPr>
    </w:p>
    <w:p w:rsidR="00775317" w:rsidRPr="00775317" w:rsidRDefault="00775317" w:rsidP="00775317">
      <w:pPr>
        <w:ind w:left="3102"/>
        <w:jc w:val="both"/>
        <w:rPr>
          <w:rFonts w:ascii="Cambria" w:hAnsi="Cambria" w:cs="Arial"/>
          <w:b/>
          <w:sz w:val="28"/>
          <w:szCs w:val="28"/>
        </w:rPr>
      </w:pPr>
      <w:r w:rsidRPr="00775317">
        <w:rPr>
          <w:rFonts w:ascii="Cambria" w:hAnsi="Cambria" w:cs="Arial"/>
          <w:b/>
          <w:sz w:val="28"/>
          <w:szCs w:val="28"/>
        </w:rPr>
        <w:t>Avec des arrêts de productions dans tous nos sites, ainsi qu’à Fos sur mer, nous sommes dans un rapport de force inédit, avec déjà des impacts en clientèle. La direction est en grande difficulté ! Elle a tenté son va-tout ce matin en tentant de diviser les salariés au travers de mesures spécifiques.</w:t>
      </w:r>
    </w:p>
    <w:p w:rsidR="00775317" w:rsidRDefault="00775317" w:rsidP="00775317">
      <w:pPr>
        <w:ind w:left="3102"/>
        <w:jc w:val="both"/>
        <w:rPr>
          <w:rFonts w:ascii="Cambria" w:hAnsi="Cambria" w:cs="Arial"/>
        </w:rPr>
      </w:pPr>
    </w:p>
    <w:p w:rsidR="001D1B77" w:rsidRPr="001E7EAD" w:rsidRDefault="001D1B77" w:rsidP="00775317">
      <w:pPr>
        <w:ind w:left="3102"/>
        <w:jc w:val="both"/>
        <w:rPr>
          <w:rFonts w:ascii="Cambria" w:hAnsi="Cambria" w:cs="Arial"/>
        </w:rPr>
      </w:pPr>
      <w:r w:rsidRPr="001E7EAD">
        <w:rPr>
          <w:rFonts w:ascii="Cambria" w:hAnsi="Cambria" w:cs="Arial"/>
        </w:rPr>
        <w:t>Dans le prolongement des actions déjà menées,</w:t>
      </w:r>
      <w:r w:rsidR="00CD5F5D" w:rsidRPr="001E7EAD">
        <w:rPr>
          <w:rFonts w:ascii="Cambria" w:hAnsi="Cambria" w:cs="Arial"/>
        </w:rPr>
        <w:t xml:space="preserve"> </w:t>
      </w:r>
      <w:r w:rsidR="0089034D" w:rsidRPr="00775317">
        <w:rPr>
          <w:rFonts w:ascii="Cambria" w:hAnsi="Cambria" w:cs="Arial"/>
          <w:b/>
          <w:sz w:val="28"/>
          <w:szCs w:val="28"/>
        </w:rPr>
        <w:t>la CGT app</w:t>
      </w:r>
      <w:r w:rsidR="0097436A" w:rsidRPr="00775317">
        <w:rPr>
          <w:rFonts w:ascii="Cambria" w:hAnsi="Cambria" w:cs="Arial"/>
          <w:b/>
          <w:sz w:val="28"/>
          <w:szCs w:val="28"/>
        </w:rPr>
        <w:t>elle les salariés à</w:t>
      </w:r>
      <w:r w:rsidRPr="00775317">
        <w:rPr>
          <w:rFonts w:ascii="Cambria" w:hAnsi="Cambria" w:cs="Arial"/>
          <w:b/>
          <w:sz w:val="28"/>
          <w:szCs w:val="28"/>
        </w:rPr>
        <w:t xml:space="preserve"> </w:t>
      </w:r>
      <w:r w:rsidR="00775317">
        <w:rPr>
          <w:rFonts w:ascii="Cambria" w:hAnsi="Cambria" w:cs="Arial"/>
          <w:b/>
          <w:sz w:val="28"/>
          <w:szCs w:val="28"/>
        </w:rPr>
        <w:t xml:space="preserve"> </w:t>
      </w:r>
      <w:r w:rsidRPr="00775317">
        <w:rPr>
          <w:rFonts w:ascii="Cambria" w:hAnsi="Cambria" w:cs="Arial"/>
          <w:b/>
          <w:sz w:val="28"/>
          <w:szCs w:val="28"/>
        </w:rPr>
        <w:t xml:space="preserve">amplifier </w:t>
      </w:r>
      <w:r w:rsidR="0089034D" w:rsidRPr="00775317">
        <w:rPr>
          <w:rFonts w:ascii="Cambria" w:hAnsi="Cambria" w:cs="Arial"/>
          <w:b/>
          <w:sz w:val="28"/>
          <w:szCs w:val="28"/>
        </w:rPr>
        <w:t xml:space="preserve"> </w:t>
      </w:r>
      <w:r w:rsidRPr="00775317">
        <w:rPr>
          <w:rFonts w:ascii="Cambria" w:hAnsi="Cambria" w:cs="Arial"/>
          <w:b/>
          <w:sz w:val="28"/>
          <w:szCs w:val="28"/>
        </w:rPr>
        <w:t>l</w:t>
      </w:r>
      <w:r w:rsidR="00775317">
        <w:rPr>
          <w:rFonts w:ascii="Cambria" w:hAnsi="Cambria" w:cs="Arial"/>
          <w:b/>
          <w:sz w:val="28"/>
          <w:szCs w:val="28"/>
        </w:rPr>
        <w:t xml:space="preserve">eur mouvement </w:t>
      </w:r>
      <w:r w:rsidRPr="00775317">
        <w:rPr>
          <w:rFonts w:ascii="Cambria" w:hAnsi="Cambria" w:cs="Arial"/>
          <w:b/>
          <w:sz w:val="28"/>
          <w:szCs w:val="28"/>
        </w:rPr>
        <w:t>dans tous les établissements</w:t>
      </w:r>
      <w:r w:rsidR="00775317">
        <w:rPr>
          <w:rFonts w:ascii="Cambria" w:hAnsi="Cambria" w:cs="Arial"/>
        </w:rPr>
        <w:t>.</w:t>
      </w:r>
    </w:p>
    <w:p w:rsidR="002A3C46" w:rsidRPr="002A3C46" w:rsidRDefault="00775317" w:rsidP="00775317">
      <w:pPr>
        <w:jc w:val="center"/>
        <w:rPr>
          <w:rFonts w:ascii="Arial" w:hAnsi="Arial" w:cs="Arial"/>
          <w:b/>
          <w:color w:val="FF0000"/>
          <w:sz w:val="40"/>
          <w:szCs w:val="40"/>
        </w:rPr>
      </w:pPr>
      <w:proofErr w:type="gramStart"/>
      <w:r>
        <w:rPr>
          <w:rFonts w:ascii="Bauhaus 93" w:hAnsi="Bauhaus 93" w:cs="Arial"/>
          <w:b/>
          <w:sz w:val="52"/>
          <w:szCs w:val="52"/>
          <w:u w:val="single"/>
        </w:rPr>
        <w:lastRenderedPageBreak/>
        <w:t>Tous ensemble</w:t>
      </w:r>
      <w:proofErr w:type="gramEnd"/>
      <w:r>
        <w:rPr>
          <w:rFonts w:ascii="Bauhaus 93" w:hAnsi="Bauhaus 93" w:cs="Arial"/>
          <w:b/>
          <w:sz w:val="52"/>
          <w:szCs w:val="52"/>
          <w:u w:val="single"/>
        </w:rPr>
        <w:t>, nous pouvons contraindre la direction à rehausser très sérieusement ses propositions, accord ou pas accord.</w:t>
      </w:r>
    </w:p>
    <w:sectPr w:rsidR="002A3C46" w:rsidRPr="002A3C46" w:rsidSect="0081010E">
      <w:type w:val="continuous"/>
      <w:pgSz w:w="11906" w:h="16838"/>
      <w:pgMar w:top="567" w:right="282" w:bottom="568" w:left="426"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03B" w:rsidRDefault="00A8603B" w:rsidP="00282A9C">
      <w:r>
        <w:separator/>
      </w:r>
    </w:p>
  </w:endnote>
  <w:endnote w:type="continuationSeparator" w:id="0">
    <w:p w:rsidR="00A8603B" w:rsidRDefault="00A8603B" w:rsidP="00282A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438" w:rsidRDefault="00D93438">
    <w:pPr>
      <w:pStyle w:val="Pieddepage"/>
      <w:pBdr>
        <w:top w:val="thinThickSmallGap" w:sz="24" w:space="1" w:color="622423" w:themeColor="accent2" w:themeShade="7F"/>
      </w:pBdr>
      <w:rPr>
        <w:rFonts w:asciiTheme="majorHAnsi" w:hAnsiTheme="majorHAnsi"/>
      </w:rPr>
    </w:pPr>
    <w:r>
      <w:rPr>
        <w:rFonts w:asciiTheme="majorHAnsi" w:hAnsiTheme="majorHAnsi"/>
      </w:rPr>
      <w:t>NAO 2017</w:t>
    </w:r>
    <w:r>
      <w:rPr>
        <w:rFonts w:asciiTheme="majorHAnsi" w:hAnsiTheme="majorHAnsi"/>
      </w:rPr>
      <w:ptab w:relativeTo="margin" w:alignment="right" w:leader="none"/>
    </w:r>
    <w:r>
      <w:rPr>
        <w:rFonts w:asciiTheme="majorHAnsi" w:hAnsiTheme="majorHAnsi"/>
      </w:rPr>
      <w:t xml:space="preserve">Page </w:t>
    </w:r>
    <w:r w:rsidR="00F07A96" w:rsidRPr="00F07A96">
      <w:rPr>
        <w:rFonts w:asciiTheme="minorHAnsi" w:hAnsiTheme="minorHAnsi"/>
      </w:rPr>
      <w:fldChar w:fldCharType="begin"/>
    </w:r>
    <w:r>
      <w:instrText xml:space="preserve"> PAGE   \* MERGEFORMAT </w:instrText>
    </w:r>
    <w:r w:rsidR="00F07A96" w:rsidRPr="00F07A96">
      <w:rPr>
        <w:rFonts w:asciiTheme="minorHAnsi" w:hAnsiTheme="minorHAnsi"/>
      </w:rPr>
      <w:fldChar w:fldCharType="separate"/>
    </w:r>
    <w:r w:rsidR="00BC3991" w:rsidRPr="00BC3991">
      <w:rPr>
        <w:rFonts w:asciiTheme="majorHAnsi" w:hAnsiTheme="majorHAnsi"/>
        <w:noProof/>
      </w:rPr>
      <w:t>3</w:t>
    </w:r>
    <w:r w:rsidR="00F07A96">
      <w:rPr>
        <w:rFonts w:asciiTheme="majorHAnsi" w:hAnsiTheme="majorHAnsi"/>
        <w:noProof/>
      </w:rPr>
      <w:fldChar w:fldCharType="end"/>
    </w:r>
  </w:p>
  <w:p w:rsidR="00D93438" w:rsidRDefault="0081010E" w:rsidP="0081010E">
    <w:pPr>
      <w:pStyle w:val="Pieddepage"/>
      <w:tabs>
        <w:tab w:val="clear" w:pos="9072"/>
        <w:tab w:val="left" w:pos="4536"/>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03B" w:rsidRDefault="00A8603B" w:rsidP="00282A9C">
      <w:r>
        <w:separator/>
      </w:r>
    </w:p>
  </w:footnote>
  <w:footnote w:type="continuationSeparator" w:id="0">
    <w:p w:rsidR="00A8603B" w:rsidRDefault="00A8603B" w:rsidP="00282A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E1CD1"/>
    <w:multiLevelType w:val="hybridMultilevel"/>
    <w:tmpl w:val="73F864FC"/>
    <w:lvl w:ilvl="0" w:tplc="34B6A996">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C995BB0"/>
    <w:multiLevelType w:val="hybridMultilevel"/>
    <w:tmpl w:val="9474A874"/>
    <w:lvl w:ilvl="0" w:tplc="040C0001">
      <w:start w:val="1"/>
      <w:numFmt w:val="bullet"/>
      <w:lvlText w:val=""/>
      <w:lvlJc w:val="left"/>
      <w:pPr>
        <w:ind w:left="855" w:hanging="360"/>
      </w:pPr>
      <w:rPr>
        <w:rFonts w:ascii="Symbol" w:hAnsi="Symbol" w:hint="default"/>
      </w:rPr>
    </w:lvl>
    <w:lvl w:ilvl="1" w:tplc="040C0003" w:tentative="1">
      <w:start w:val="1"/>
      <w:numFmt w:val="bullet"/>
      <w:lvlText w:val="o"/>
      <w:lvlJc w:val="left"/>
      <w:pPr>
        <w:ind w:left="1575" w:hanging="360"/>
      </w:pPr>
      <w:rPr>
        <w:rFonts w:ascii="Courier New" w:hAnsi="Courier New" w:cs="Courier New" w:hint="default"/>
      </w:rPr>
    </w:lvl>
    <w:lvl w:ilvl="2" w:tplc="040C0005" w:tentative="1">
      <w:start w:val="1"/>
      <w:numFmt w:val="bullet"/>
      <w:lvlText w:val=""/>
      <w:lvlJc w:val="left"/>
      <w:pPr>
        <w:ind w:left="2295" w:hanging="360"/>
      </w:pPr>
      <w:rPr>
        <w:rFonts w:ascii="Wingdings" w:hAnsi="Wingdings" w:hint="default"/>
      </w:rPr>
    </w:lvl>
    <w:lvl w:ilvl="3" w:tplc="040C0001" w:tentative="1">
      <w:start w:val="1"/>
      <w:numFmt w:val="bullet"/>
      <w:lvlText w:val=""/>
      <w:lvlJc w:val="left"/>
      <w:pPr>
        <w:ind w:left="3015" w:hanging="360"/>
      </w:pPr>
      <w:rPr>
        <w:rFonts w:ascii="Symbol" w:hAnsi="Symbol" w:hint="default"/>
      </w:rPr>
    </w:lvl>
    <w:lvl w:ilvl="4" w:tplc="040C0003" w:tentative="1">
      <w:start w:val="1"/>
      <w:numFmt w:val="bullet"/>
      <w:lvlText w:val="o"/>
      <w:lvlJc w:val="left"/>
      <w:pPr>
        <w:ind w:left="3735" w:hanging="360"/>
      </w:pPr>
      <w:rPr>
        <w:rFonts w:ascii="Courier New" w:hAnsi="Courier New" w:cs="Courier New" w:hint="default"/>
      </w:rPr>
    </w:lvl>
    <w:lvl w:ilvl="5" w:tplc="040C0005" w:tentative="1">
      <w:start w:val="1"/>
      <w:numFmt w:val="bullet"/>
      <w:lvlText w:val=""/>
      <w:lvlJc w:val="left"/>
      <w:pPr>
        <w:ind w:left="4455" w:hanging="360"/>
      </w:pPr>
      <w:rPr>
        <w:rFonts w:ascii="Wingdings" w:hAnsi="Wingdings" w:hint="default"/>
      </w:rPr>
    </w:lvl>
    <w:lvl w:ilvl="6" w:tplc="040C0001" w:tentative="1">
      <w:start w:val="1"/>
      <w:numFmt w:val="bullet"/>
      <w:lvlText w:val=""/>
      <w:lvlJc w:val="left"/>
      <w:pPr>
        <w:ind w:left="5175" w:hanging="360"/>
      </w:pPr>
      <w:rPr>
        <w:rFonts w:ascii="Symbol" w:hAnsi="Symbol" w:hint="default"/>
      </w:rPr>
    </w:lvl>
    <w:lvl w:ilvl="7" w:tplc="040C0003" w:tentative="1">
      <w:start w:val="1"/>
      <w:numFmt w:val="bullet"/>
      <w:lvlText w:val="o"/>
      <w:lvlJc w:val="left"/>
      <w:pPr>
        <w:ind w:left="5895" w:hanging="360"/>
      </w:pPr>
      <w:rPr>
        <w:rFonts w:ascii="Courier New" w:hAnsi="Courier New" w:cs="Courier New" w:hint="default"/>
      </w:rPr>
    </w:lvl>
    <w:lvl w:ilvl="8" w:tplc="040C0005" w:tentative="1">
      <w:start w:val="1"/>
      <w:numFmt w:val="bullet"/>
      <w:lvlText w:val=""/>
      <w:lvlJc w:val="left"/>
      <w:pPr>
        <w:ind w:left="6615"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8194"/>
  </w:hdrShapeDefaults>
  <w:footnotePr>
    <w:footnote w:id="-1"/>
    <w:footnote w:id="0"/>
  </w:footnotePr>
  <w:endnotePr>
    <w:endnote w:id="-1"/>
    <w:endnote w:id="0"/>
  </w:endnotePr>
  <w:compat>
    <w:applyBreakingRules/>
    <w:useFELayout/>
  </w:compat>
  <w:rsids>
    <w:rsidRoot w:val="00F12525"/>
    <w:rsid w:val="000028A8"/>
    <w:rsid w:val="00004594"/>
    <w:rsid w:val="00004E33"/>
    <w:rsid w:val="00005841"/>
    <w:rsid w:val="00016B13"/>
    <w:rsid w:val="000264B5"/>
    <w:rsid w:val="000273DD"/>
    <w:rsid w:val="00034336"/>
    <w:rsid w:val="000353D0"/>
    <w:rsid w:val="00040398"/>
    <w:rsid w:val="0005013B"/>
    <w:rsid w:val="00054C6C"/>
    <w:rsid w:val="00057876"/>
    <w:rsid w:val="00060859"/>
    <w:rsid w:val="00062257"/>
    <w:rsid w:val="00065E23"/>
    <w:rsid w:val="00067882"/>
    <w:rsid w:val="000708D0"/>
    <w:rsid w:val="00071D93"/>
    <w:rsid w:val="00073200"/>
    <w:rsid w:val="000812CB"/>
    <w:rsid w:val="00083869"/>
    <w:rsid w:val="00083DD4"/>
    <w:rsid w:val="00091EA7"/>
    <w:rsid w:val="00094110"/>
    <w:rsid w:val="00094F6F"/>
    <w:rsid w:val="0009617B"/>
    <w:rsid w:val="000978D2"/>
    <w:rsid w:val="000B0D3B"/>
    <w:rsid w:val="000B402A"/>
    <w:rsid w:val="000B5ED0"/>
    <w:rsid w:val="000B651B"/>
    <w:rsid w:val="000C1A22"/>
    <w:rsid w:val="000C39DD"/>
    <w:rsid w:val="000C5BA3"/>
    <w:rsid w:val="000D016C"/>
    <w:rsid w:val="000E0624"/>
    <w:rsid w:val="000E28A1"/>
    <w:rsid w:val="000F3EAF"/>
    <w:rsid w:val="000F4985"/>
    <w:rsid w:val="000F578E"/>
    <w:rsid w:val="00101EB5"/>
    <w:rsid w:val="001022F7"/>
    <w:rsid w:val="00102892"/>
    <w:rsid w:val="00112559"/>
    <w:rsid w:val="00112895"/>
    <w:rsid w:val="00114544"/>
    <w:rsid w:val="0011789D"/>
    <w:rsid w:val="00117C05"/>
    <w:rsid w:val="00121C50"/>
    <w:rsid w:val="0012207B"/>
    <w:rsid w:val="001277CE"/>
    <w:rsid w:val="00131995"/>
    <w:rsid w:val="00132F5B"/>
    <w:rsid w:val="0013313A"/>
    <w:rsid w:val="00135129"/>
    <w:rsid w:val="001352ED"/>
    <w:rsid w:val="001356A9"/>
    <w:rsid w:val="001361F2"/>
    <w:rsid w:val="0014482D"/>
    <w:rsid w:val="001448F6"/>
    <w:rsid w:val="0014702F"/>
    <w:rsid w:val="00151AA1"/>
    <w:rsid w:val="00154B5F"/>
    <w:rsid w:val="00164D87"/>
    <w:rsid w:val="001665A6"/>
    <w:rsid w:val="001711C4"/>
    <w:rsid w:val="00174FAA"/>
    <w:rsid w:val="00175D42"/>
    <w:rsid w:val="0018022E"/>
    <w:rsid w:val="00180E65"/>
    <w:rsid w:val="001847C1"/>
    <w:rsid w:val="00185E64"/>
    <w:rsid w:val="001962EF"/>
    <w:rsid w:val="001A251A"/>
    <w:rsid w:val="001B7E51"/>
    <w:rsid w:val="001B7F69"/>
    <w:rsid w:val="001C3290"/>
    <w:rsid w:val="001C3C6C"/>
    <w:rsid w:val="001C5166"/>
    <w:rsid w:val="001D1B77"/>
    <w:rsid w:val="001D2E5C"/>
    <w:rsid w:val="001D6E8D"/>
    <w:rsid w:val="001E1354"/>
    <w:rsid w:val="001E7EAD"/>
    <w:rsid w:val="001F0406"/>
    <w:rsid w:val="001F14E7"/>
    <w:rsid w:val="001F4F39"/>
    <w:rsid w:val="001F6FE3"/>
    <w:rsid w:val="00200725"/>
    <w:rsid w:val="00200941"/>
    <w:rsid w:val="00200BDB"/>
    <w:rsid w:val="00203CE1"/>
    <w:rsid w:val="00206D1B"/>
    <w:rsid w:val="00207821"/>
    <w:rsid w:val="00214479"/>
    <w:rsid w:val="00214604"/>
    <w:rsid w:val="002226DE"/>
    <w:rsid w:val="00222870"/>
    <w:rsid w:val="002230AE"/>
    <w:rsid w:val="002236EF"/>
    <w:rsid w:val="00224111"/>
    <w:rsid w:val="002242AD"/>
    <w:rsid w:val="00231886"/>
    <w:rsid w:val="0024054E"/>
    <w:rsid w:val="00243096"/>
    <w:rsid w:val="002558D9"/>
    <w:rsid w:val="00262CEA"/>
    <w:rsid w:val="00266CD7"/>
    <w:rsid w:val="002744DE"/>
    <w:rsid w:val="00280E8C"/>
    <w:rsid w:val="00282A9C"/>
    <w:rsid w:val="00292DA7"/>
    <w:rsid w:val="00294393"/>
    <w:rsid w:val="002A031C"/>
    <w:rsid w:val="002A1B9F"/>
    <w:rsid w:val="002A308A"/>
    <w:rsid w:val="002A3528"/>
    <w:rsid w:val="002A3C46"/>
    <w:rsid w:val="002A43BC"/>
    <w:rsid w:val="002C073D"/>
    <w:rsid w:val="002C169A"/>
    <w:rsid w:val="002C40B7"/>
    <w:rsid w:val="002C46E1"/>
    <w:rsid w:val="002C7BEA"/>
    <w:rsid w:val="002D5B59"/>
    <w:rsid w:val="002D67F0"/>
    <w:rsid w:val="002D7874"/>
    <w:rsid w:val="002E29F5"/>
    <w:rsid w:val="002E7683"/>
    <w:rsid w:val="002E7A0F"/>
    <w:rsid w:val="002F2223"/>
    <w:rsid w:val="002F3AA3"/>
    <w:rsid w:val="002F510D"/>
    <w:rsid w:val="0030532E"/>
    <w:rsid w:val="00314D22"/>
    <w:rsid w:val="0031508D"/>
    <w:rsid w:val="0031614E"/>
    <w:rsid w:val="00320CE8"/>
    <w:rsid w:val="00331115"/>
    <w:rsid w:val="003343DC"/>
    <w:rsid w:val="0034297C"/>
    <w:rsid w:val="003463C1"/>
    <w:rsid w:val="00350EF5"/>
    <w:rsid w:val="003530AC"/>
    <w:rsid w:val="00353C95"/>
    <w:rsid w:val="0035660E"/>
    <w:rsid w:val="003579EB"/>
    <w:rsid w:val="00361BBB"/>
    <w:rsid w:val="00363E44"/>
    <w:rsid w:val="0036480E"/>
    <w:rsid w:val="0036532C"/>
    <w:rsid w:val="003657C1"/>
    <w:rsid w:val="00366903"/>
    <w:rsid w:val="00372862"/>
    <w:rsid w:val="003735EF"/>
    <w:rsid w:val="0038127D"/>
    <w:rsid w:val="00385261"/>
    <w:rsid w:val="00385779"/>
    <w:rsid w:val="00385BA5"/>
    <w:rsid w:val="003A0910"/>
    <w:rsid w:val="003A0F62"/>
    <w:rsid w:val="003A3603"/>
    <w:rsid w:val="003A6869"/>
    <w:rsid w:val="003A6CBC"/>
    <w:rsid w:val="003B5C04"/>
    <w:rsid w:val="003B7DD2"/>
    <w:rsid w:val="003C4FF5"/>
    <w:rsid w:val="003C63BE"/>
    <w:rsid w:val="003D1E93"/>
    <w:rsid w:val="003D327A"/>
    <w:rsid w:val="003D6A5C"/>
    <w:rsid w:val="003E2EFB"/>
    <w:rsid w:val="003E6E7B"/>
    <w:rsid w:val="003E6F37"/>
    <w:rsid w:val="003F4AE6"/>
    <w:rsid w:val="003F6481"/>
    <w:rsid w:val="00403158"/>
    <w:rsid w:val="0040726D"/>
    <w:rsid w:val="00412776"/>
    <w:rsid w:val="00417D96"/>
    <w:rsid w:val="0042031F"/>
    <w:rsid w:val="00421C14"/>
    <w:rsid w:val="00426EDD"/>
    <w:rsid w:val="00427ACB"/>
    <w:rsid w:val="00430E3C"/>
    <w:rsid w:val="004356BD"/>
    <w:rsid w:val="004365A0"/>
    <w:rsid w:val="00445B89"/>
    <w:rsid w:val="00446EED"/>
    <w:rsid w:val="00457156"/>
    <w:rsid w:val="00462B70"/>
    <w:rsid w:val="004645EC"/>
    <w:rsid w:val="004717A8"/>
    <w:rsid w:val="00493CE9"/>
    <w:rsid w:val="004A76CE"/>
    <w:rsid w:val="004B18FD"/>
    <w:rsid w:val="004B4C0C"/>
    <w:rsid w:val="004B4C71"/>
    <w:rsid w:val="004B5524"/>
    <w:rsid w:val="004B5FF9"/>
    <w:rsid w:val="004C35ED"/>
    <w:rsid w:val="004C4B56"/>
    <w:rsid w:val="004C4C6C"/>
    <w:rsid w:val="004C4EB1"/>
    <w:rsid w:val="004D0BFF"/>
    <w:rsid w:val="004D11FE"/>
    <w:rsid w:val="004D2A85"/>
    <w:rsid w:val="004D5EDD"/>
    <w:rsid w:val="004E11E7"/>
    <w:rsid w:val="004E2DF5"/>
    <w:rsid w:val="004E64D0"/>
    <w:rsid w:val="004F05BD"/>
    <w:rsid w:val="004F5D7B"/>
    <w:rsid w:val="004F62E5"/>
    <w:rsid w:val="005057CE"/>
    <w:rsid w:val="0051226E"/>
    <w:rsid w:val="005128AD"/>
    <w:rsid w:val="00520BBF"/>
    <w:rsid w:val="00521D86"/>
    <w:rsid w:val="00526159"/>
    <w:rsid w:val="00526BA9"/>
    <w:rsid w:val="00536D24"/>
    <w:rsid w:val="00537790"/>
    <w:rsid w:val="0054046A"/>
    <w:rsid w:val="00540CA7"/>
    <w:rsid w:val="00541609"/>
    <w:rsid w:val="00545A10"/>
    <w:rsid w:val="00552100"/>
    <w:rsid w:val="00556C76"/>
    <w:rsid w:val="00560437"/>
    <w:rsid w:val="00567651"/>
    <w:rsid w:val="005741D4"/>
    <w:rsid w:val="0058572B"/>
    <w:rsid w:val="00587BEC"/>
    <w:rsid w:val="0059055D"/>
    <w:rsid w:val="005939C0"/>
    <w:rsid w:val="005943B9"/>
    <w:rsid w:val="00594BF1"/>
    <w:rsid w:val="00595397"/>
    <w:rsid w:val="00595F3F"/>
    <w:rsid w:val="005A2F97"/>
    <w:rsid w:val="005A37BC"/>
    <w:rsid w:val="005A3AFE"/>
    <w:rsid w:val="005B325B"/>
    <w:rsid w:val="005B3266"/>
    <w:rsid w:val="005B4296"/>
    <w:rsid w:val="005B5736"/>
    <w:rsid w:val="005C0966"/>
    <w:rsid w:val="005C2892"/>
    <w:rsid w:val="005C6C97"/>
    <w:rsid w:val="005D06AA"/>
    <w:rsid w:val="005D1E5F"/>
    <w:rsid w:val="005D301A"/>
    <w:rsid w:val="005D7B13"/>
    <w:rsid w:val="005D7F5C"/>
    <w:rsid w:val="005E1FB1"/>
    <w:rsid w:val="005E22B2"/>
    <w:rsid w:val="005E3E65"/>
    <w:rsid w:val="005E44C8"/>
    <w:rsid w:val="005E5999"/>
    <w:rsid w:val="005E73B5"/>
    <w:rsid w:val="005E7A7E"/>
    <w:rsid w:val="005F04DB"/>
    <w:rsid w:val="005F7110"/>
    <w:rsid w:val="006121AD"/>
    <w:rsid w:val="006124CA"/>
    <w:rsid w:val="0061549F"/>
    <w:rsid w:val="006213D5"/>
    <w:rsid w:val="00624842"/>
    <w:rsid w:val="0064543B"/>
    <w:rsid w:val="00647B11"/>
    <w:rsid w:val="0065239F"/>
    <w:rsid w:val="00653E77"/>
    <w:rsid w:val="00655506"/>
    <w:rsid w:val="00663F08"/>
    <w:rsid w:val="00665DEF"/>
    <w:rsid w:val="006722F2"/>
    <w:rsid w:val="006764EB"/>
    <w:rsid w:val="006765BA"/>
    <w:rsid w:val="006805FD"/>
    <w:rsid w:val="00681C69"/>
    <w:rsid w:val="00684EC9"/>
    <w:rsid w:val="00685B0D"/>
    <w:rsid w:val="0069162D"/>
    <w:rsid w:val="0069173B"/>
    <w:rsid w:val="00691C08"/>
    <w:rsid w:val="006A08F2"/>
    <w:rsid w:val="006A47D0"/>
    <w:rsid w:val="006A4A92"/>
    <w:rsid w:val="006A71B9"/>
    <w:rsid w:val="006A7723"/>
    <w:rsid w:val="006B1363"/>
    <w:rsid w:val="006B20CC"/>
    <w:rsid w:val="006C102E"/>
    <w:rsid w:val="006C6AE9"/>
    <w:rsid w:val="006D0608"/>
    <w:rsid w:val="006D1D24"/>
    <w:rsid w:val="006D416C"/>
    <w:rsid w:val="006E142E"/>
    <w:rsid w:val="006E203B"/>
    <w:rsid w:val="006E2C0F"/>
    <w:rsid w:val="006E4635"/>
    <w:rsid w:val="006E552F"/>
    <w:rsid w:val="006E676D"/>
    <w:rsid w:val="006F0CAB"/>
    <w:rsid w:val="006F42D2"/>
    <w:rsid w:val="006F5119"/>
    <w:rsid w:val="00700623"/>
    <w:rsid w:val="00700D86"/>
    <w:rsid w:val="00706B88"/>
    <w:rsid w:val="00706B99"/>
    <w:rsid w:val="00713506"/>
    <w:rsid w:val="00713A71"/>
    <w:rsid w:val="00714318"/>
    <w:rsid w:val="007144A3"/>
    <w:rsid w:val="00716D1D"/>
    <w:rsid w:val="00717EAE"/>
    <w:rsid w:val="007240EA"/>
    <w:rsid w:val="0073131D"/>
    <w:rsid w:val="00734296"/>
    <w:rsid w:val="00736259"/>
    <w:rsid w:val="00736FB8"/>
    <w:rsid w:val="00747CDC"/>
    <w:rsid w:val="00750E4D"/>
    <w:rsid w:val="00752309"/>
    <w:rsid w:val="00754A6C"/>
    <w:rsid w:val="0075709C"/>
    <w:rsid w:val="00765F63"/>
    <w:rsid w:val="007704BC"/>
    <w:rsid w:val="00771A7C"/>
    <w:rsid w:val="00772580"/>
    <w:rsid w:val="00773E55"/>
    <w:rsid w:val="00775317"/>
    <w:rsid w:val="00776444"/>
    <w:rsid w:val="00776E30"/>
    <w:rsid w:val="00777409"/>
    <w:rsid w:val="007802A0"/>
    <w:rsid w:val="007809DA"/>
    <w:rsid w:val="00780E99"/>
    <w:rsid w:val="00792FD6"/>
    <w:rsid w:val="007933DE"/>
    <w:rsid w:val="00793432"/>
    <w:rsid w:val="00793D1E"/>
    <w:rsid w:val="007965ED"/>
    <w:rsid w:val="007A1CEF"/>
    <w:rsid w:val="007A3BF5"/>
    <w:rsid w:val="007A4002"/>
    <w:rsid w:val="007A50AD"/>
    <w:rsid w:val="007A5C74"/>
    <w:rsid w:val="007B0C23"/>
    <w:rsid w:val="007B3342"/>
    <w:rsid w:val="007B68E1"/>
    <w:rsid w:val="007C3D91"/>
    <w:rsid w:val="007C61AC"/>
    <w:rsid w:val="007D5C55"/>
    <w:rsid w:val="007E4F92"/>
    <w:rsid w:val="007E55E5"/>
    <w:rsid w:val="007E6130"/>
    <w:rsid w:val="007F100A"/>
    <w:rsid w:val="007F2368"/>
    <w:rsid w:val="007F3AA0"/>
    <w:rsid w:val="008002CF"/>
    <w:rsid w:val="00800E20"/>
    <w:rsid w:val="008054E0"/>
    <w:rsid w:val="0081010E"/>
    <w:rsid w:val="00812B0E"/>
    <w:rsid w:val="0081327D"/>
    <w:rsid w:val="0081760D"/>
    <w:rsid w:val="00817F5E"/>
    <w:rsid w:val="008223A4"/>
    <w:rsid w:val="00822408"/>
    <w:rsid w:val="00823C4A"/>
    <w:rsid w:val="00832170"/>
    <w:rsid w:val="008355B2"/>
    <w:rsid w:val="00835A16"/>
    <w:rsid w:val="00835A35"/>
    <w:rsid w:val="0084028F"/>
    <w:rsid w:val="00842937"/>
    <w:rsid w:val="008438F0"/>
    <w:rsid w:val="00844F95"/>
    <w:rsid w:val="00851AD2"/>
    <w:rsid w:val="008534A3"/>
    <w:rsid w:val="00855C03"/>
    <w:rsid w:val="00865F78"/>
    <w:rsid w:val="008705D7"/>
    <w:rsid w:val="00872338"/>
    <w:rsid w:val="008729B3"/>
    <w:rsid w:val="00872EA6"/>
    <w:rsid w:val="00873362"/>
    <w:rsid w:val="00874F17"/>
    <w:rsid w:val="00881EB9"/>
    <w:rsid w:val="00882001"/>
    <w:rsid w:val="00884309"/>
    <w:rsid w:val="00884548"/>
    <w:rsid w:val="00886CF0"/>
    <w:rsid w:val="00887FD6"/>
    <w:rsid w:val="0089034D"/>
    <w:rsid w:val="00891ADF"/>
    <w:rsid w:val="008A2276"/>
    <w:rsid w:val="008A250B"/>
    <w:rsid w:val="008A3985"/>
    <w:rsid w:val="008A43DA"/>
    <w:rsid w:val="008A62A0"/>
    <w:rsid w:val="008B420B"/>
    <w:rsid w:val="008C06DA"/>
    <w:rsid w:val="008C3E73"/>
    <w:rsid w:val="008C6904"/>
    <w:rsid w:val="008D0A12"/>
    <w:rsid w:val="008D144D"/>
    <w:rsid w:val="008D3F12"/>
    <w:rsid w:val="008D5B1D"/>
    <w:rsid w:val="008E172F"/>
    <w:rsid w:val="008E37F2"/>
    <w:rsid w:val="008E70BF"/>
    <w:rsid w:val="008F6B8F"/>
    <w:rsid w:val="00900B57"/>
    <w:rsid w:val="009010CC"/>
    <w:rsid w:val="00903547"/>
    <w:rsid w:val="00910E40"/>
    <w:rsid w:val="0091478D"/>
    <w:rsid w:val="00914CD8"/>
    <w:rsid w:val="009219AC"/>
    <w:rsid w:val="00921F5D"/>
    <w:rsid w:val="00926716"/>
    <w:rsid w:val="00927048"/>
    <w:rsid w:val="0092783E"/>
    <w:rsid w:val="00934545"/>
    <w:rsid w:val="00935A1F"/>
    <w:rsid w:val="009361E8"/>
    <w:rsid w:val="00944274"/>
    <w:rsid w:val="0094570E"/>
    <w:rsid w:val="00952493"/>
    <w:rsid w:val="00953DF8"/>
    <w:rsid w:val="009547B6"/>
    <w:rsid w:val="0096093D"/>
    <w:rsid w:val="00966161"/>
    <w:rsid w:val="00966B50"/>
    <w:rsid w:val="009678D7"/>
    <w:rsid w:val="00970D8D"/>
    <w:rsid w:val="0097436A"/>
    <w:rsid w:val="00974AAC"/>
    <w:rsid w:val="009854AA"/>
    <w:rsid w:val="00986998"/>
    <w:rsid w:val="00987F7E"/>
    <w:rsid w:val="0099167B"/>
    <w:rsid w:val="00993369"/>
    <w:rsid w:val="00993371"/>
    <w:rsid w:val="00994A9E"/>
    <w:rsid w:val="00994F58"/>
    <w:rsid w:val="00995E18"/>
    <w:rsid w:val="009965D0"/>
    <w:rsid w:val="009A17F1"/>
    <w:rsid w:val="009A194F"/>
    <w:rsid w:val="009A1B06"/>
    <w:rsid w:val="009A5DC8"/>
    <w:rsid w:val="009A646C"/>
    <w:rsid w:val="009B3A11"/>
    <w:rsid w:val="009B5257"/>
    <w:rsid w:val="009C0B45"/>
    <w:rsid w:val="009C599C"/>
    <w:rsid w:val="009C6C25"/>
    <w:rsid w:val="009D49C5"/>
    <w:rsid w:val="009E22D6"/>
    <w:rsid w:val="009E52E7"/>
    <w:rsid w:val="009E616E"/>
    <w:rsid w:val="009F244F"/>
    <w:rsid w:val="009F7EB3"/>
    <w:rsid w:val="00A0000F"/>
    <w:rsid w:val="00A108FA"/>
    <w:rsid w:val="00A12728"/>
    <w:rsid w:val="00A136AA"/>
    <w:rsid w:val="00A137B2"/>
    <w:rsid w:val="00A13B78"/>
    <w:rsid w:val="00A22177"/>
    <w:rsid w:val="00A226A3"/>
    <w:rsid w:val="00A261AA"/>
    <w:rsid w:val="00A31916"/>
    <w:rsid w:val="00A31FB7"/>
    <w:rsid w:val="00A33170"/>
    <w:rsid w:val="00A34B2A"/>
    <w:rsid w:val="00A40CAE"/>
    <w:rsid w:val="00A40F65"/>
    <w:rsid w:val="00A46D2B"/>
    <w:rsid w:val="00A47F37"/>
    <w:rsid w:val="00A60D8D"/>
    <w:rsid w:val="00A62A81"/>
    <w:rsid w:val="00A63F4F"/>
    <w:rsid w:val="00A649E9"/>
    <w:rsid w:val="00A64AB2"/>
    <w:rsid w:val="00A653B4"/>
    <w:rsid w:val="00A72DB4"/>
    <w:rsid w:val="00A73A18"/>
    <w:rsid w:val="00A74D73"/>
    <w:rsid w:val="00A75359"/>
    <w:rsid w:val="00A76CF2"/>
    <w:rsid w:val="00A7730C"/>
    <w:rsid w:val="00A818D2"/>
    <w:rsid w:val="00A831F9"/>
    <w:rsid w:val="00A8603B"/>
    <w:rsid w:val="00A91E89"/>
    <w:rsid w:val="00A96677"/>
    <w:rsid w:val="00AA27FE"/>
    <w:rsid w:val="00AB0B83"/>
    <w:rsid w:val="00AB6426"/>
    <w:rsid w:val="00AC672D"/>
    <w:rsid w:val="00AC7C3A"/>
    <w:rsid w:val="00AD01AA"/>
    <w:rsid w:val="00AD2368"/>
    <w:rsid w:val="00AD7319"/>
    <w:rsid w:val="00AE06D1"/>
    <w:rsid w:val="00AE4609"/>
    <w:rsid w:val="00AF0609"/>
    <w:rsid w:val="00AF597B"/>
    <w:rsid w:val="00AF6639"/>
    <w:rsid w:val="00B00D4B"/>
    <w:rsid w:val="00B11354"/>
    <w:rsid w:val="00B11488"/>
    <w:rsid w:val="00B21B9A"/>
    <w:rsid w:val="00B2656A"/>
    <w:rsid w:val="00B302C3"/>
    <w:rsid w:val="00B413DA"/>
    <w:rsid w:val="00B43A78"/>
    <w:rsid w:val="00B51180"/>
    <w:rsid w:val="00B5479F"/>
    <w:rsid w:val="00B553DC"/>
    <w:rsid w:val="00B60F08"/>
    <w:rsid w:val="00B70797"/>
    <w:rsid w:val="00B70E24"/>
    <w:rsid w:val="00B71724"/>
    <w:rsid w:val="00B73FCC"/>
    <w:rsid w:val="00B76FE0"/>
    <w:rsid w:val="00B77450"/>
    <w:rsid w:val="00B829E9"/>
    <w:rsid w:val="00B83E31"/>
    <w:rsid w:val="00B921A0"/>
    <w:rsid w:val="00B93F39"/>
    <w:rsid w:val="00B9782D"/>
    <w:rsid w:val="00BA0573"/>
    <w:rsid w:val="00BB0C59"/>
    <w:rsid w:val="00BB2482"/>
    <w:rsid w:val="00BB423B"/>
    <w:rsid w:val="00BB6B9A"/>
    <w:rsid w:val="00BB6ED7"/>
    <w:rsid w:val="00BB70AA"/>
    <w:rsid w:val="00BC016F"/>
    <w:rsid w:val="00BC1373"/>
    <w:rsid w:val="00BC1A0D"/>
    <w:rsid w:val="00BC3991"/>
    <w:rsid w:val="00BC6DF4"/>
    <w:rsid w:val="00BD108D"/>
    <w:rsid w:val="00BD254D"/>
    <w:rsid w:val="00BE0A4F"/>
    <w:rsid w:val="00BE231D"/>
    <w:rsid w:val="00BE3DAC"/>
    <w:rsid w:val="00BE771F"/>
    <w:rsid w:val="00BF0A5A"/>
    <w:rsid w:val="00BF11E5"/>
    <w:rsid w:val="00BF2633"/>
    <w:rsid w:val="00BF6332"/>
    <w:rsid w:val="00C04635"/>
    <w:rsid w:val="00C07424"/>
    <w:rsid w:val="00C07451"/>
    <w:rsid w:val="00C12917"/>
    <w:rsid w:val="00C2134D"/>
    <w:rsid w:val="00C30120"/>
    <w:rsid w:val="00C30C78"/>
    <w:rsid w:val="00C34A75"/>
    <w:rsid w:val="00C359DC"/>
    <w:rsid w:val="00C360FD"/>
    <w:rsid w:val="00C37AC9"/>
    <w:rsid w:val="00C40169"/>
    <w:rsid w:val="00C41C02"/>
    <w:rsid w:val="00C4549E"/>
    <w:rsid w:val="00C52A41"/>
    <w:rsid w:val="00C546EC"/>
    <w:rsid w:val="00C559C3"/>
    <w:rsid w:val="00C603D7"/>
    <w:rsid w:val="00C60533"/>
    <w:rsid w:val="00C61364"/>
    <w:rsid w:val="00C617EA"/>
    <w:rsid w:val="00C70B2F"/>
    <w:rsid w:val="00C71B16"/>
    <w:rsid w:val="00C73002"/>
    <w:rsid w:val="00C740A7"/>
    <w:rsid w:val="00C74593"/>
    <w:rsid w:val="00C74F72"/>
    <w:rsid w:val="00C75464"/>
    <w:rsid w:val="00C847A5"/>
    <w:rsid w:val="00C84A83"/>
    <w:rsid w:val="00C90ACB"/>
    <w:rsid w:val="00C919FD"/>
    <w:rsid w:val="00C9276C"/>
    <w:rsid w:val="00C9311E"/>
    <w:rsid w:val="00C97FC4"/>
    <w:rsid w:val="00CA15CB"/>
    <w:rsid w:val="00CA50C2"/>
    <w:rsid w:val="00CA6FEA"/>
    <w:rsid w:val="00CB0D42"/>
    <w:rsid w:val="00CB6D9E"/>
    <w:rsid w:val="00CC4F75"/>
    <w:rsid w:val="00CC753B"/>
    <w:rsid w:val="00CD5F5D"/>
    <w:rsid w:val="00CD7B83"/>
    <w:rsid w:val="00CE1C84"/>
    <w:rsid w:val="00CE1F8C"/>
    <w:rsid w:val="00CE26F4"/>
    <w:rsid w:val="00CE665E"/>
    <w:rsid w:val="00CE7691"/>
    <w:rsid w:val="00CE7793"/>
    <w:rsid w:val="00CF4243"/>
    <w:rsid w:val="00D03369"/>
    <w:rsid w:val="00D0587B"/>
    <w:rsid w:val="00D10A92"/>
    <w:rsid w:val="00D1496E"/>
    <w:rsid w:val="00D22DC7"/>
    <w:rsid w:val="00D2411C"/>
    <w:rsid w:val="00D3722A"/>
    <w:rsid w:val="00D41E9F"/>
    <w:rsid w:val="00D420C2"/>
    <w:rsid w:val="00D54AFC"/>
    <w:rsid w:val="00D55F48"/>
    <w:rsid w:val="00D60103"/>
    <w:rsid w:val="00D6055A"/>
    <w:rsid w:val="00D64D19"/>
    <w:rsid w:val="00D65C3A"/>
    <w:rsid w:val="00D670FD"/>
    <w:rsid w:val="00D67847"/>
    <w:rsid w:val="00D766CC"/>
    <w:rsid w:val="00D81427"/>
    <w:rsid w:val="00D830C0"/>
    <w:rsid w:val="00D84820"/>
    <w:rsid w:val="00D87F19"/>
    <w:rsid w:val="00D93438"/>
    <w:rsid w:val="00D956BC"/>
    <w:rsid w:val="00DA44A4"/>
    <w:rsid w:val="00DA57C1"/>
    <w:rsid w:val="00DB33F2"/>
    <w:rsid w:val="00DB5ADE"/>
    <w:rsid w:val="00DC6792"/>
    <w:rsid w:val="00DD33AD"/>
    <w:rsid w:val="00DE01DF"/>
    <w:rsid w:val="00DE3470"/>
    <w:rsid w:val="00DE7019"/>
    <w:rsid w:val="00DF2070"/>
    <w:rsid w:val="00DF4FF1"/>
    <w:rsid w:val="00DF50FC"/>
    <w:rsid w:val="00DF5A43"/>
    <w:rsid w:val="00DF63D1"/>
    <w:rsid w:val="00DF6EAC"/>
    <w:rsid w:val="00DF7B0E"/>
    <w:rsid w:val="00E0738D"/>
    <w:rsid w:val="00E1416E"/>
    <w:rsid w:val="00E1436B"/>
    <w:rsid w:val="00E15492"/>
    <w:rsid w:val="00E2480B"/>
    <w:rsid w:val="00E33389"/>
    <w:rsid w:val="00E37ADA"/>
    <w:rsid w:val="00E50932"/>
    <w:rsid w:val="00E5113B"/>
    <w:rsid w:val="00E57BCF"/>
    <w:rsid w:val="00E60A98"/>
    <w:rsid w:val="00E611EE"/>
    <w:rsid w:val="00E61B7C"/>
    <w:rsid w:val="00E621BF"/>
    <w:rsid w:val="00E64973"/>
    <w:rsid w:val="00E651D4"/>
    <w:rsid w:val="00E65565"/>
    <w:rsid w:val="00E80EF5"/>
    <w:rsid w:val="00E817B0"/>
    <w:rsid w:val="00E81CB6"/>
    <w:rsid w:val="00E82461"/>
    <w:rsid w:val="00E85A47"/>
    <w:rsid w:val="00EA16FB"/>
    <w:rsid w:val="00EA34C8"/>
    <w:rsid w:val="00EA424B"/>
    <w:rsid w:val="00EA4E7B"/>
    <w:rsid w:val="00EB1EB5"/>
    <w:rsid w:val="00EB51B6"/>
    <w:rsid w:val="00EB53D1"/>
    <w:rsid w:val="00EB58FB"/>
    <w:rsid w:val="00EB6AE0"/>
    <w:rsid w:val="00EC2444"/>
    <w:rsid w:val="00EC30D2"/>
    <w:rsid w:val="00EC33BD"/>
    <w:rsid w:val="00EC476C"/>
    <w:rsid w:val="00EC4A0C"/>
    <w:rsid w:val="00EC5184"/>
    <w:rsid w:val="00EC6610"/>
    <w:rsid w:val="00ED1E9C"/>
    <w:rsid w:val="00EE335B"/>
    <w:rsid w:val="00EF04BA"/>
    <w:rsid w:val="00EF3FE1"/>
    <w:rsid w:val="00EF44FA"/>
    <w:rsid w:val="00EF5AB3"/>
    <w:rsid w:val="00EF77EA"/>
    <w:rsid w:val="00F022B8"/>
    <w:rsid w:val="00F06AD6"/>
    <w:rsid w:val="00F07A96"/>
    <w:rsid w:val="00F07EA2"/>
    <w:rsid w:val="00F11892"/>
    <w:rsid w:val="00F12525"/>
    <w:rsid w:val="00F14C5B"/>
    <w:rsid w:val="00F209B0"/>
    <w:rsid w:val="00F2445F"/>
    <w:rsid w:val="00F26C58"/>
    <w:rsid w:val="00F27F68"/>
    <w:rsid w:val="00F3442B"/>
    <w:rsid w:val="00F34B2B"/>
    <w:rsid w:val="00F34CAD"/>
    <w:rsid w:val="00F354D7"/>
    <w:rsid w:val="00F423FD"/>
    <w:rsid w:val="00F4428F"/>
    <w:rsid w:val="00F51C95"/>
    <w:rsid w:val="00F52E68"/>
    <w:rsid w:val="00F57D3D"/>
    <w:rsid w:val="00F609C8"/>
    <w:rsid w:val="00F73234"/>
    <w:rsid w:val="00F767C7"/>
    <w:rsid w:val="00F7737E"/>
    <w:rsid w:val="00F82BD9"/>
    <w:rsid w:val="00F83E39"/>
    <w:rsid w:val="00F874E4"/>
    <w:rsid w:val="00F9049B"/>
    <w:rsid w:val="00F93FBC"/>
    <w:rsid w:val="00F95058"/>
    <w:rsid w:val="00F96892"/>
    <w:rsid w:val="00FA46A0"/>
    <w:rsid w:val="00FA60E1"/>
    <w:rsid w:val="00FB05FE"/>
    <w:rsid w:val="00FB6C99"/>
    <w:rsid w:val="00FC220C"/>
    <w:rsid w:val="00FD08D6"/>
    <w:rsid w:val="00FD3D01"/>
    <w:rsid w:val="00FD49C0"/>
    <w:rsid w:val="00FD6B11"/>
    <w:rsid w:val="00FE08B7"/>
    <w:rsid w:val="00FE130B"/>
    <w:rsid w:val="00FE56C8"/>
    <w:rsid w:val="00FE75EE"/>
    <w:rsid w:val="00FF4E9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7FE"/>
    <w:rPr>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C4549E"/>
    <w:rPr>
      <w:rFonts w:ascii="Tahoma" w:hAnsi="Tahoma" w:cs="Tahoma"/>
      <w:sz w:val="16"/>
      <w:szCs w:val="16"/>
    </w:rPr>
  </w:style>
  <w:style w:type="paragraph" w:customStyle="1" w:styleId="xmsonormal">
    <w:name w:val="x_msonormal"/>
    <w:basedOn w:val="Normal"/>
    <w:rsid w:val="005E3E65"/>
    <w:pPr>
      <w:spacing w:before="100" w:beforeAutospacing="1" w:after="100" w:afterAutospacing="1"/>
    </w:pPr>
    <w:rPr>
      <w:rFonts w:eastAsia="Times New Roman"/>
      <w:lang w:eastAsia="fr-FR"/>
    </w:rPr>
  </w:style>
  <w:style w:type="table" w:styleId="Grilledutableau">
    <w:name w:val="Table Grid"/>
    <w:basedOn w:val="TableauNormal"/>
    <w:uiPriority w:val="59"/>
    <w:rsid w:val="00164D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76FE0"/>
    <w:pPr>
      <w:autoSpaceDE w:val="0"/>
      <w:autoSpaceDN w:val="0"/>
      <w:adjustRightInd w:val="0"/>
    </w:pPr>
    <w:rPr>
      <w:rFonts w:ascii="Arial" w:hAnsi="Arial" w:cs="Arial"/>
      <w:color w:val="000000"/>
      <w:sz w:val="24"/>
      <w:szCs w:val="24"/>
    </w:rPr>
  </w:style>
  <w:style w:type="table" w:styleId="Grilleclaire-Accent2">
    <w:name w:val="Light Grid Accent 2"/>
    <w:basedOn w:val="TableauNormal"/>
    <w:uiPriority w:val="62"/>
    <w:rsid w:val="009A5DC8"/>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paragraph" w:styleId="En-tte">
    <w:name w:val="header"/>
    <w:basedOn w:val="Normal"/>
    <w:link w:val="En-tteCar"/>
    <w:uiPriority w:val="99"/>
    <w:rsid w:val="00282A9C"/>
    <w:pPr>
      <w:tabs>
        <w:tab w:val="center" w:pos="4536"/>
        <w:tab w:val="right" w:pos="9072"/>
      </w:tabs>
    </w:pPr>
  </w:style>
  <w:style w:type="character" w:customStyle="1" w:styleId="En-tteCar">
    <w:name w:val="En-tête Car"/>
    <w:link w:val="En-tte"/>
    <w:uiPriority w:val="99"/>
    <w:rsid w:val="00282A9C"/>
    <w:rPr>
      <w:sz w:val="24"/>
      <w:szCs w:val="24"/>
      <w:lang w:eastAsia="zh-CN"/>
    </w:rPr>
  </w:style>
  <w:style w:type="paragraph" w:styleId="Pieddepage">
    <w:name w:val="footer"/>
    <w:basedOn w:val="Normal"/>
    <w:link w:val="PieddepageCar"/>
    <w:uiPriority w:val="99"/>
    <w:rsid w:val="00282A9C"/>
    <w:pPr>
      <w:tabs>
        <w:tab w:val="center" w:pos="4536"/>
        <w:tab w:val="right" w:pos="9072"/>
      </w:tabs>
    </w:pPr>
  </w:style>
  <w:style w:type="character" w:customStyle="1" w:styleId="PieddepageCar">
    <w:name w:val="Pied de page Car"/>
    <w:link w:val="Pieddepage"/>
    <w:uiPriority w:val="99"/>
    <w:rsid w:val="00282A9C"/>
    <w:rPr>
      <w:sz w:val="24"/>
      <w:szCs w:val="24"/>
      <w:lang w:eastAsia="zh-CN"/>
    </w:rPr>
  </w:style>
  <w:style w:type="paragraph" w:styleId="Sansinterligne">
    <w:name w:val="No Spacing"/>
    <w:link w:val="SansinterligneCar"/>
    <w:uiPriority w:val="1"/>
    <w:qFormat/>
    <w:rsid w:val="00282A9C"/>
    <w:rPr>
      <w:rFonts w:ascii="Calibri" w:eastAsia="Times New Roman" w:hAnsi="Calibri"/>
      <w:sz w:val="22"/>
      <w:szCs w:val="22"/>
      <w:lang w:eastAsia="en-US"/>
    </w:rPr>
  </w:style>
  <w:style w:type="character" w:customStyle="1" w:styleId="SansinterligneCar">
    <w:name w:val="Sans interligne Car"/>
    <w:link w:val="Sansinterligne"/>
    <w:uiPriority w:val="1"/>
    <w:rsid w:val="00282A9C"/>
    <w:rPr>
      <w:rFonts w:ascii="Calibri" w:eastAsia="Times New Roman" w:hAnsi="Calibri"/>
      <w:sz w:val="22"/>
      <w:szCs w:val="22"/>
      <w:lang w:val="fr-FR" w:eastAsia="en-US" w:bidi="ar-SA"/>
    </w:rPr>
  </w:style>
  <w:style w:type="paragraph" w:styleId="Sous-titre">
    <w:name w:val="Subtitle"/>
    <w:basedOn w:val="Normal"/>
    <w:next w:val="Normal"/>
    <w:link w:val="Sous-titreCar"/>
    <w:qFormat/>
    <w:rsid w:val="0034297C"/>
    <w:pPr>
      <w:spacing w:after="60"/>
      <w:jc w:val="center"/>
      <w:outlineLvl w:val="1"/>
    </w:pPr>
    <w:rPr>
      <w:rFonts w:ascii="Cambria" w:eastAsia="Times New Roman" w:hAnsi="Cambria"/>
    </w:rPr>
  </w:style>
  <w:style w:type="character" w:customStyle="1" w:styleId="Sous-titreCar">
    <w:name w:val="Sous-titre Car"/>
    <w:link w:val="Sous-titre"/>
    <w:rsid w:val="0034297C"/>
    <w:rPr>
      <w:rFonts w:ascii="Cambria" w:eastAsia="Times New Roman" w:hAnsi="Cambria" w:cs="Times New Roman"/>
      <w:sz w:val="24"/>
      <w:szCs w:val="24"/>
      <w:lang w:eastAsia="zh-CN"/>
    </w:rPr>
  </w:style>
  <w:style w:type="paragraph" w:styleId="Paragraphedeliste">
    <w:name w:val="List Paragraph"/>
    <w:basedOn w:val="Normal"/>
    <w:uiPriority w:val="34"/>
    <w:qFormat/>
    <w:rsid w:val="00556C76"/>
    <w:pPr>
      <w:spacing w:after="200" w:line="276" w:lineRule="auto"/>
      <w:ind w:left="720"/>
      <w:contextualSpacing/>
    </w:pPr>
    <w:rPr>
      <w:rFonts w:asciiTheme="minorHAnsi" w:eastAsiaTheme="minorHAnsi" w:hAnsiTheme="minorHAnsi" w:cstheme="minorBidi"/>
      <w:sz w:val="22"/>
      <w:szCs w:val="22"/>
      <w:lang w:eastAsia="en-US"/>
    </w:rPr>
  </w:style>
  <w:style w:type="table" w:customStyle="1" w:styleId="TableauGrille1Clair1">
    <w:name w:val="Tableau Grille 1 Clair1"/>
    <w:basedOn w:val="TableauNormal"/>
    <w:uiPriority w:val="46"/>
    <w:rsid w:val="00D93438"/>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Accent2">
    <w:name w:val="Grid Table 4 Accent 2"/>
    <w:basedOn w:val="TableauNormal"/>
    <w:uiPriority w:val="49"/>
    <w:rsid w:val="00595397"/>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5DarkAccent2">
    <w:name w:val="Grid Table 5 Dark Accent 2"/>
    <w:basedOn w:val="TableauNormal"/>
    <w:uiPriority w:val="50"/>
    <w:rsid w:val="002A3C46"/>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s>
</file>

<file path=word/webSettings.xml><?xml version="1.0" encoding="utf-8"?>
<w:webSettings xmlns:r="http://schemas.openxmlformats.org/officeDocument/2006/relationships" xmlns:w="http://schemas.openxmlformats.org/wordprocessingml/2006/main">
  <w:divs>
    <w:div w:id="168416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CB26C-E12E-4B9F-B434-0463AAEC4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582</Words>
  <Characters>3202</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Négociations :</vt:lpstr>
    </vt:vector>
  </TitlesOfParts>
  <Company>TOSHIBA</Company>
  <LinksUpToDate>false</LinksUpToDate>
  <CharactersWithSpaces>3777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Négociations :</dc:title>
  <dc:creator>Syndicat CGT DK</dc:creator>
  <cp:lastModifiedBy>Marie VERGNOL</cp:lastModifiedBy>
  <cp:revision>2</cp:revision>
  <cp:lastPrinted>2016-12-01T15:40:00Z</cp:lastPrinted>
  <dcterms:created xsi:type="dcterms:W3CDTF">2016-12-15T17:50:00Z</dcterms:created>
  <dcterms:modified xsi:type="dcterms:W3CDTF">2016-12-15T17:50:00Z</dcterms:modified>
</cp:coreProperties>
</file>